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814376667"/>
        <w:docPartObj>
          <w:docPartGallery w:val="Cover Pages"/>
          <w:docPartUnique/>
        </w:docPartObj>
      </w:sdtPr>
      <w:sdtEndPr>
        <w:rPr>
          <w:rFonts w:ascii="Arial" w:hAnsi="Arial" w:cs="Arial"/>
          <w:sz w:val="20"/>
          <w:szCs w:val="20"/>
        </w:rPr>
      </w:sdtEndPr>
      <w:sdtContent>
        <w:p w:rsidR="001015E3" w:rsidRDefault="001015E3" w:rsidP="001015E3"/>
        <w:p w:rsidR="001015E3" w:rsidRPr="00794213" w:rsidRDefault="001015E3" w:rsidP="001015E3">
          <w:pPr>
            <w:spacing w:before="100" w:beforeAutospacing="1" w:after="100" w:afterAutospacing="1" w:line="360" w:lineRule="auto"/>
            <w:rPr>
              <w:rFonts w:ascii="Arial" w:eastAsia="Times New Roman" w:hAnsi="Arial" w:cs="Arial"/>
              <w:b/>
              <w:bCs/>
              <w:sz w:val="28"/>
              <w:szCs w:val="28"/>
            </w:rPr>
          </w:pPr>
        </w:p>
        <w:p w:rsidR="001015E3" w:rsidRPr="00A8018A" w:rsidRDefault="001015E3" w:rsidP="001015E3">
          <w:pPr>
            <w:spacing w:before="100" w:beforeAutospacing="1" w:after="100" w:afterAutospacing="1" w:line="360" w:lineRule="auto"/>
            <w:jc w:val="center"/>
            <w:rPr>
              <w:rFonts w:ascii="Arial" w:eastAsia="Times New Roman" w:hAnsi="Arial" w:cs="Arial"/>
              <w:bCs/>
              <w:sz w:val="28"/>
              <w:szCs w:val="28"/>
              <w:lang w:val="ru-RU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>REPUBLIKA</w:t>
          </w:r>
          <w:r w:rsidRPr="00A8018A"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>SRBIJA</w:t>
          </w:r>
        </w:p>
        <w:p w:rsidR="001015E3" w:rsidRPr="00A8018A" w:rsidRDefault="001015E3" w:rsidP="001015E3">
          <w:pPr>
            <w:spacing w:before="100" w:beforeAutospacing="1" w:after="100" w:afterAutospacing="1" w:line="360" w:lineRule="auto"/>
            <w:jc w:val="center"/>
            <w:rPr>
              <w:rFonts w:ascii="Arial" w:eastAsia="Times New Roman" w:hAnsi="Arial" w:cs="Arial"/>
              <w:bCs/>
              <w:sz w:val="28"/>
              <w:szCs w:val="28"/>
              <w:lang w:val="ru-RU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>NARODNA</w:t>
          </w:r>
          <w:r w:rsidRPr="00A8018A"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ru-RU"/>
            </w:rPr>
            <w:t>SKUPŠTINA</w:t>
          </w:r>
        </w:p>
        <w:p w:rsidR="001015E3" w:rsidRPr="00A8018A" w:rsidRDefault="001015E3" w:rsidP="001015E3">
          <w:pPr>
            <w:spacing w:before="100" w:beforeAutospacing="1" w:after="100" w:afterAutospacing="1" w:line="360" w:lineRule="auto"/>
            <w:jc w:val="center"/>
            <w:rPr>
              <w:rFonts w:ascii="Arial" w:eastAsia="Times New Roman" w:hAnsi="Arial" w:cs="Arial"/>
              <w:bCs/>
              <w:sz w:val="28"/>
              <w:szCs w:val="28"/>
              <w:lang w:val="sr-Cyrl-CS"/>
            </w:rPr>
          </w:pP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BIBLIOTEKA</w:t>
          </w:r>
          <w:r w:rsidRPr="00A8018A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NARODNE</w:t>
          </w:r>
          <w:r w:rsidRPr="00A8018A"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ascii="Arial" w:eastAsia="Times New Roman" w:hAnsi="Arial" w:cs="Arial"/>
              <w:b/>
              <w:bCs/>
              <w:sz w:val="28"/>
              <w:szCs w:val="28"/>
              <w:lang w:val="sr-Cyrl-CS"/>
            </w:rPr>
            <w:t>SKUPŠTINE</w:t>
          </w:r>
        </w:p>
        <w:p w:rsidR="001015E3" w:rsidRPr="00A8018A" w:rsidRDefault="001015E3" w:rsidP="001015E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1015E3" w:rsidRDefault="001015E3" w:rsidP="001015E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360" w:lineRule="auto"/>
            <w:jc w:val="both"/>
            <w:rPr>
              <w:rFonts w:ascii="Arial" w:eastAsia="MS Mincho" w:hAnsi="Arial" w:cs="Arial"/>
              <w:bCs/>
              <w:iCs/>
              <w:sz w:val="20"/>
              <w:szCs w:val="28"/>
              <w:lang w:val="sr-Cyrl-RS" w:eastAsia="ja-JP"/>
            </w:rPr>
          </w:pPr>
        </w:p>
        <w:p w:rsidR="001015E3" w:rsidRPr="00794213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Tema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 xml:space="preserve">: 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 UVOZ I IZVOZ ORUŽJA I MUNICIJE</w:t>
          </w: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ru-RU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Datum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: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   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RS" w:eastAsia="ja-JP"/>
            </w:rPr>
            <w:t xml:space="preserve"> 01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.0</w:t>
          </w:r>
          <w:r w:rsidRPr="0097616B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9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.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20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1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ru-RU" w:eastAsia="ja-JP"/>
            </w:rPr>
            <w:t>4.</w:t>
          </w:r>
        </w:p>
        <w:p w:rsidR="001015E3" w:rsidRPr="00A8018A" w:rsidRDefault="001015E3" w:rsidP="001015E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Br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.: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ab/>
            <w:t xml:space="preserve">         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 xml:space="preserve"> 06</w:t>
          </w:r>
          <w:r w:rsidRPr="0097616B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 xml:space="preserve"> 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  <w:t>/</w:t>
          </w:r>
          <w:r w:rsidRPr="00A8018A"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  <w:t>14</w:t>
          </w:r>
        </w:p>
        <w:p w:rsidR="001015E3" w:rsidRPr="00A8018A" w:rsidRDefault="001015E3" w:rsidP="001015E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R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tabs>
              <w:tab w:val="left" w:pos="567"/>
            </w:tabs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Latn-CS" w:eastAsia="ja-JP"/>
            </w:rPr>
          </w:pPr>
        </w:p>
        <w:p w:rsidR="001015E3" w:rsidRPr="00A8018A" w:rsidRDefault="001015E3" w:rsidP="001015E3">
          <w:pPr>
            <w:keepNext/>
            <w:spacing w:before="240" w:after="60" w:line="360" w:lineRule="auto"/>
            <w:jc w:val="both"/>
            <w:outlineLvl w:val="0"/>
            <w:rPr>
              <w:rFonts w:ascii="Arial" w:eastAsia="MS Mincho" w:hAnsi="Arial" w:cs="Arial"/>
              <w:b/>
              <w:iCs/>
              <w:kern w:val="32"/>
              <w:sz w:val="20"/>
              <w:szCs w:val="32"/>
              <w:lang w:val="sr-Latn-C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sz w:val="28"/>
              <w:szCs w:val="28"/>
              <w:lang w:val="sr-Cyrl-RS" w:eastAsia="ja-JP"/>
            </w:rPr>
          </w:pPr>
        </w:p>
        <w:p w:rsidR="001015E3" w:rsidRPr="00A8018A" w:rsidRDefault="001015E3" w:rsidP="001015E3">
          <w:pPr>
            <w:spacing w:after="0" w:line="240" w:lineRule="auto"/>
            <w:jc w:val="both"/>
            <w:rPr>
              <w:rFonts w:ascii="Arial" w:eastAsia="MS Mincho" w:hAnsi="Arial" w:cs="Arial"/>
              <w:b/>
              <w:bCs/>
              <w:iCs/>
              <w:lang w:val="hr-BA" w:eastAsia="ja-JP"/>
            </w:rPr>
          </w:pPr>
          <w:bookmarkStart w:id="0" w:name="_Toc196037342"/>
          <w:bookmarkEnd w:id="0"/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Ovo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istraživanje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je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uradila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Biblioteka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Narodne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skupštine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za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potrebe</w:t>
          </w:r>
          <w:r w:rsidRPr="00A8018A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rada</w:t>
          </w:r>
          <w:r w:rsidRPr="00A8018A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narodnih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poslanika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i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Službe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Narodne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skupštine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.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Za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više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informacija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molimo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da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nas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kontaktirate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putem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telefona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3026-532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i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elektronske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hr-BA" w:eastAsia="ja-JP"/>
            </w:rPr>
            <w:t>pošte</w:t>
          </w:r>
          <w:r w:rsidRPr="00A8018A">
            <w:rPr>
              <w:rFonts w:ascii="Arial" w:eastAsia="MS Mincho" w:hAnsi="Arial" w:cs="Arial"/>
              <w:b/>
              <w:bCs/>
              <w:iCs/>
              <w:lang w:val="hr-BA" w:eastAsia="ja-JP"/>
            </w:rPr>
            <w:t xml:space="preserve"> </w:t>
          </w:r>
          <w:hyperlink r:id="rId8" w:history="1">
            <w:r w:rsidRPr="00A8018A">
              <w:rPr>
                <w:rFonts w:ascii="Arial" w:eastAsia="MS Mincho" w:hAnsi="Arial" w:cs="Arial"/>
                <w:b/>
                <w:bCs/>
                <w:i/>
                <w:iCs/>
                <w:color w:val="0000FF"/>
                <w:u w:val="single"/>
                <w:lang w:val="hr-BA" w:eastAsia="ja-JP"/>
              </w:rPr>
              <w:t>istrazivanja@parlament.rs</w:t>
            </w:r>
            <w:r w:rsidRPr="00A8018A">
              <w:rPr>
                <w:rFonts w:ascii="Arial" w:eastAsia="MS Mincho" w:hAnsi="Arial" w:cs="Arial"/>
                <w:b/>
                <w:bCs/>
                <w:iCs/>
                <w:color w:val="0000FF"/>
                <w:u w:val="single"/>
                <w:lang w:val="hr-BA" w:eastAsia="ja-JP"/>
              </w:rPr>
              <w:t>.</w:t>
            </w:r>
          </w:hyperlink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Istraživanja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koj</w:t>
          </w:r>
          <w:r w:rsidRPr="00A8018A">
            <w:rPr>
              <w:rFonts w:ascii="Arial" w:eastAsia="MS Mincho" w:hAnsi="Arial" w:cs="Arial"/>
              <w:b/>
              <w:bCs/>
              <w:iCs/>
              <w:lang w:val="sr-Cyrl-RS" w:eastAsia="ja-JP"/>
            </w:rPr>
            <w:t>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priprema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Biblioteka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Narodne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skupštine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ne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odražavaju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zvanični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stav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Narodne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skupštine</w:t>
          </w:r>
          <w:r w:rsidRPr="00A8018A"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spacing w:val="-4"/>
              <w:lang w:val="ru-RU" w:eastAsia="ja-JP"/>
            </w:rPr>
            <w:t>Republike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 </w:t>
          </w:r>
          <w:r>
            <w:rPr>
              <w:rFonts w:ascii="Arial" w:eastAsia="MS Mincho" w:hAnsi="Arial" w:cs="Arial"/>
              <w:b/>
              <w:bCs/>
              <w:iCs/>
              <w:lang w:val="ru-RU" w:eastAsia="ja-JP"/>
            </w:rPr>
            <w:t>Srbije</w:t>
          </w:r>
          <w:r w:rsidRPr="00A8018A">
            <w:rPr>
              <w:rFonts w:ascii="Arial" w:eastAsia="MS Mincho" w:hAnsi="Arial" w:cs="Arial"/>
              <w:b/>
              <w:bCs/>
              <w:iCs/>
              <w:lang w:val="ru-RU" w:eastAsia="ja-JP"/>
            </w:rPr>
            <w:t xml:space="preserve">. </w:t>
          </w:r>
        </w:p>
        <w:p w:rsidR="001015E3" w:rsidRDefault="001015E3" w:rsidP="001015E3">
          <w:pPr>
            <w:rPr>
              <w:rFonts w:ascii="Arial" w:hAnsi="Arial" w:cs="Arial"/>
              <w:b/>
              <w:bCs/>
              <w:sz w:val="20"/>
              <w:szCs w:val="20"/>
            </w:rPr>
          </w:pPr>
          <w:r>
            <w:rPr>
              <w:rFonts w:ascii="Arial" w:hAnsi="Arial" w:cs="Arial"/>
              <w:b/>
              <w:bCs/>
              <w:sz w:val="20"/>
              <w:szCs w:val="20"/>
              <w:lang w:val="sr-Cyrl-RS"/>
            </w:rPr>
            <w:lastRenderedPageBreak/>
            <w:t>SADRŽAJ</w:t>
          </w:r>
        </w:p>
        <w:p w:rsidR="001015E3" w:rsidRPr="00793AC8" w:rsidRDefault="00364A89" w:rsidP="001015E3">
          <w:pPr>
            <w:rPr>
              <w:rFonts w:ascii="Arial" w:hAnsi="Arial" w:cs="Arial"/>
              <w:b/>
              <w:bCs/>
              <w:sz w:val="20"/>
              <w:szCs w:val="20"/>
              <w:lang w:val="sr-Cyrl-RS"/>
            </w:rPr>
          </w:pPr>
        </w:p>
      </w:sdtContent>
    </w:sdt>
    <w:p w:rsidR="001015E3" w:rsidRDefault="001015E3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r>
        <w:rPr>
          <w:rFonts w:cs="Arial"/>
          <w:sz w:val="20"/>
          <w:szCs w:val="20"/>
        </w:rPr>
        <w:fldChar w:fldCharType="begin"/>
      </w:r>
      <w:r>
        <w:rPr>
          <w:rFonts w:cs="Arial"/>
          <w:sz w:val="20"/>
          <w:szCs w:val="20"/>
        </w:rPr>
        <w:instrText xml:space="preserve"> TOC \o "1-2" \h \z \u </w:instrText>
      </w:r>
      <w:r>
        <w:rPr>
          <w:rFonts w:cs="Arial"/>
          <w:sz w:val="20"/>
          <w:szCs w:val="20"/>
        </w:rPr>
        <w:fldChar w:fldCharType="separate"/>
      </w:r>
      <w:hyperlink w:anchor="_Toc400543691" w:history="1">
        <w:r w:rsidRPr="002372B6">
          <w:rPr>
            <w:rStyle w:val="Hyperlink"/>
            <w:noProof/>
            <w:lang w:val="hr-HR"/>
          </w:rPr>
          <w:t>Uvod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_Toc400543691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1015E3" w:rsidRDefault="00364A8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00543692" w:history="1">
        <w:r w:rsidR="001015E3" w:rsidRPr="002372B6">
          <w:rPr>
            <w:rStyle w:val="Hyperlink"/>
            <w:noProof/>
            <w:lang w:val="sr-Cyrl-RS"/>
          </w:rPr>
          <w:t>Pravna regulativa u vezi s spoljnotrgovinskim prometom naoružanja i vojne opreme u BiH, Hrvatskoj i Crnoj Gori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_Toc400543692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2</w:t>
        </w:r>
        <w:r w:rsidR="001015E3">
          <w:rPr>
            <w:noProof/>
            <w:webHidden/>
          </w:rPr>
          <w:fldChar w:fldCharType="end"/>
        </w:r>
      </w:hyperlink>
    </w:p>
    <w:p w:rsidR="001015E3" w:rsidRDefault="00364A8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543693" w:history="1">
        <w:r w:rsidR="001015E3" w:rsidRPr="002372B6">
          <w:rPr>
            <w:rStyle w:val="Hyperlink"/>
            <w:noProof/>
            <w:lang w:val="bs-Cyrl-BA"/>
          </w:rPr>
          <w:t>B</w:t>
        </w:r>
        <w:r w:rsidR="001015E3" w:rsidRPr="002372B6">
          <w:rPr>
            <w:rStyle w:val="Hyperlink"/>
            <w:noProof/>
            <w:lang w:val="sr-Cyrl-RS"/>
          </w:rPr>
          <w:t>osna i Hercegovina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_Toc400543693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2</w:t>
        </w:r>
        <w:r w:rsidR="001015E3">
          <w:rPr>
            <w:noProof/>
            <w:webHidden/>
          </w:rPr>
          <w:fldChar w:fldCharType="end"/>
        </w:r>
      </w:hyperlink>
    </w:p>
    <w:p w:rsidR="001015E3" w:rsidRDefault="00364A8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543694" w:history="1">
        <w:r w:rsidR="001015E3" w:rsidRPr="002372B6">
          <w:rPr>
            <w:rStyle w:val="Hyperlink"/>
            <w:noProof/>
            <w:lang w:val="sr-Cyrl-RS"/>
          </w:rPr>
          <w:t>Hrvatska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_Toc400543694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3</w:t>
        </w:r>
        <w:r w:rsidR="001015E3">
          <w:rPr>
            <w:noProof/>
            <w:webHidden/>
          </w:rPr>
          <w:fldChar w:fldCharType="end"/>
        </w:r>
      </w:hyperlink>
    </w:p>
    <w:p w:rsidR="001015E3" w:rsidRDefault="00364A8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543695" w:history="1">
        <w:r w:rsidR="001015E3" w:rsidRPr="002372B6">
          <w:rPr>
            <w:rStyle w:val="Hyperlink"/>
            <w:noProof/>
            <w:lang w:val="sr-Cyrl-RS"/>
          </w:rPr>
          <w:t>Crna Gora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_Toc400543695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4</w:t>
        </w:r>
        <w:r w:rsidR="001015E3">
          <w:rPr>
            <w:noProof/>
            <w:webHidden/>
          </w:rPr>
          <w:fldChar w:fldCharType="end"/>
        </w:r>
      </w:hyperlink>
    </w:p>
    <w:p w:rsidR="001015E3" w:rsidRDefault="00364A89">
      <w:pPr>
        <w:pStyle w:val="TOC1"/>
        <w:tabs>
          <w:tab w:val="right" w:leader="dot" w:pos="9350"/>
        </w:tabs>
        <w:rPr>
          <w:rFonts w:asciiTheme="minorHAnsi" w:eastAsiaTheme="minorEastAsia" w:hAnsiTheme="minorHAnsi"/>
          <w:noProof/>
          <w:lang w:bidi="gu-IN"/>
        </w:rPr>
      </w:pPr>
      <w:hyperlink w:anchor="_Toc400543696" w:history="1">
        <w:r w:rsidR="001015E3" w:rsidRPr="002372B6">
          <w:rPr>
            <w:rStyle w:val="Hyperlink"/>
            <w:noProof/>
            <w:lang w:val="bs-Cyrl-BA"/>
          </w:rPr>
          <w:t xml:space="preserve">Pravna regulativa u vezi s spoljnotrgovinskim </w:t>
        </w:r>
        <w:r w:rsidR="001015E3" w:rsidRPr="002372B6">
          <w:rPr>
            <w:rStyle w:val="Hyperlink"/>
            <w:noProof/>
            <w:lang w:val="sr-Cyrl-RS"/>
          </w:rPr>
          <w:t>prometom naoružanja i vojne opreme</w:t>
        </w:r>
        <w:r w:rsidR="001015E3" w:rsidRPr="002372B6">
          <w:rPr>
            <w:rStyle w:val="Hyperlink"/>
            <w:noProof/>
            <w:lang w:val="bs-Cyrl-BA"/>
          </w:rPr>
          <w:t xml:space="preserve"> u Belgiji, Italiji i Finskoj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_Toc400543696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8</w:t>
        </w:r>
        <w:r w:rsidR="001015E3">
          <w:rPr>
            <w:noProof/>
            <w:webHidden/>
          </w:rPr>
          <w:fldChar w:fldCharType="end"/>
        </w:r>
      </w:hyperlink>
    </w:p>
    <w:p w:rsidR="001015E3" w:rsidRDefault="00364A8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543697" w:history="1">
        <w:r w:rsidR="001015E3" w:rsidRPr="002372B6">
          <w:rPr>
            <w:rStyle w:val="Hyperlink"/>
            <w:noProof/>
            <w:lang w:val="sr-Cyrl-RS"/>
          </w:rPr>
          <w:t>Belgija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_Toc400543697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8</w:t>
        </w:r>
        <w:r w:rsidR="001015E3">
          <w:rPr>
            <w:noProof/>
            <w:webHidden/>
          </w:rPr>
          <w:fldChar w:fldCharType="end"/>
        </w:r>
      </w:hyperlink>
    </w:p>
    <w:p w:rsidR="001015E3" w:rsidRDefault="00364A8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543698" w:history="1">
        <w:r w:rsidR="001015E3" w:rsidRPr="002372B6">
          <w:rPr>
            <w:rStyle w:val="Hyperlink"/>
            <w:noProof/>
            <w:lang w:val="sr-Cyrl-RS"/>
          </w:rPr>
          <w:t>Italija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_Toc400543698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9</w:t>
        </w:r>
        <w:r w:rsidR="001015E3">
          <w:rPr>
            <w:noProof/>
            <w:webHidden/>
          </w:rPr>
          <w:fldChar w:fldCharType="end"/>
        </w:r>
      </w:hyperlink>
    </w:p>
    <w:p w:rsidR="001015E3" w:rsidRDefault="00364A89">
      <w:pPr>
        <w:pStyle w:val="TOC2"/>
        <w:tabs>
          <w:tab w:val="right" w:leader="dot" w:pos="9350"/>
        </w:tabs>
        <w:rPr>
          <w:rFonts w:eastAsiaTheme="minorEastAsia"/>
          <w:noProof/>
          <w:lang w:bidi="gu-IN"/>
        </w:rPr>
      </w:pPr>
      <w:hyperlink w:anchor="_Toc400543699" w:history="1">
        <w:r w:rsidR="001015E3" w:rsidRPr="002372B6">
          <w:rPr>
            <w:rStyle w:val="Hyperlink"/>
            <w:noProof/>
            <w:lang w:val="bs-Cyrl-BA"/>
          </w:rPr>
          <w:t>F</w:t>
        </w:r>
        <w:r w:rsidR="001015E3" w:rsidRPr="002372B6">
          <w:rPr>
            <w:rStyle w:val="Hyperlink"/>
            <w:noProof/>
            <w:lang w:val="sr-Cyrl-RS"/>
          </w:rPr>
          <w:t>inska</w:t>
        </w:r>
        <w:r w:rsidR="001015E3">
          <w:rPr>
            <w:noProof/>
            <w:webHidden/>
          </w:rPr>
          <w:tab/>
        </w:r>
        <w:r w:rsidR="001015E3">
          <w:rPr>
            <w:noProof/>
            <w:webHidden/>
          </w:rPr>
          <w:fldChar w:fldCharType="begin"/>
        </w:r>
        <w:r w:rsidR="001015E3">
          <w:rPr>
            <w:noProof/>
            <w:webHidden/>
          </w:rPr>
          <w:instrText xml:space="preserve"> PAGEREF _Toc400543699 \h </w:instrText>
        </w:r>
        <w:r w:rsidR="001015E3">
          <w:rPr>
            <w:noProof/>
            <w:webHidden/>
          </w:rPr>
        </w:r>
        <w:r w:rsidR="001015E3">
          <w:rPr>
            <w:noProof/>
            <w:webHidden/>
          </w:rPr>
          <w:fldChar w:fldCharType="separate"/>
        </w:r>
        <w:r w:rsidR="001015E3">
          <w:rPr>
            <w:noProof/>
            <w:webHidden/>
          </w:rPr>
          <w:t>9</w:t>
        </w:r>
        <w:r w:rsidR="001015E3">
          <w:rPr>
            <w:noProof/>
            <w:webHidden/>
          </w:rPr>
          <w:fldChar w:fldCharType="end"/>
        </w:r>
      </w:hyperlink>
    </w:p>
    <w:p w:rsidR="001015E3" w:rsidRPr="0079421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fldChar w:fldCharType="end"/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1015E3" w:rsidRPr="001015E3" w:rsidRDefault="001015E3" w:rsidP="001015E3">
      <w:pPr>
        <w:pStyle w:val="Heading1"/>
        <w:rPr>
          <w:lang w:val="hr-HR"/>
        </w:rPr>
      </w:pPr>
      <w:bookmarkStart w:id="1" w:name="_Toc400543691"/>
      <w:r w:rsidRPr="001015E3">
        <w:rPr>
          <w:lang w:val="hr-HR"/>
        </w:rPr>
        <w:lastRenderedPageBreak/>
        <w:t>Uvod</w:t>
      </w:r>
      <w:bookmarkEnd w:id="1"/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Cilj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uspostavljanje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pružanja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brokerskih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tehničke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transporta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naoružanjem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vojnom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opremom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radi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ostvarivanja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odbrambenih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bezbednosnih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spoljnopolitičkih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interesa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D4640F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njihovih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kredibiliteta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obezbeđenja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poštovanja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 obaveza. Narodnoj skupštini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Republike Srbije </w:t>
      </w:r>
      <w:r w:rsidR="00F047DC">
        <w:rPr>
          <w:rFonts w:ascii="Arial" w:hAnsi="Arial" w:cs="Arial"/>
          <w:sz w:val="20"/>
          <w:szCs w:val="20"/>
        </w:rPr>
        <w:t>je</w:t>
      </w:r>
      <w:r w:rsidR="00F047DC" w:rsidRPr="00F047DC">
        <w:rPr>
          <w:rFonts w:ascii="Arial" w:hAnsi="Arial" w:cs="Arial"/>
          <w:sz w:val="20"/>
          <w:szCs w:val="20"/>
          <w:lang w:val="sr-Cyrl-RS"/>
        </w:rPr>
        <w:t xml:space="preserve"> 25.07.2014. </w:t>
      </w:r>
      <w:r>
        <w:rPr>
          <w:rFonts w:ascii="Arial" w:hAnsi="Arial" w:cs="Arial"/>
          <w:sz w:val="20"/>
          <w:szCs w:val="20"/>
          <w:lang w:val="sr-Cyrl-RS"/>
        </w:rPr>
        <w:t xml:space="preserve">dostavljen Predlog 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uređuju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način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pružanje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brokerskih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tehničke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transport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propisuju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postupci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nadležnih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sprovođenju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D4640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Ovo istraživanje pruža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detaljan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uporedni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pregled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regulative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D4640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 opreme u zemljama regiona (Bosna i Hercegovina, Hrvatska i Crna Gora) kao i u Belgiji, Italiji i Finskoj.</w:t>
      </w:r>
    </w:p>
    <w:p w:rsidR="001015E3" w:rsidRPr="001015E3" w:rsidRDefault="001015E3" w:rsidP="001015E3">
      <w:pPr>
        <w:pStyle w:val="Heading1"/>
        <w:rPr>
          <w:lang w:val="sr-Cyrl-RS"/>
        </w:rPr>
      </w:pPr>
      <w:bookmarkStart w:id="2" w:name="_Toc400543692"/>
      <w:r>
        <w:rPr>
          <w:lang w:val="sr-Cyrl-RS"/>
        </w:rPr>
        <w:t>Pravna</w:t>
      </w:r>
      <w:r w:rsidRPr="001015E3">
        <w:rPr>
          <w:lang w:val="sr-Cyrl-RS"/>
        </w:rPr>
        <w:t xml:space="preserve"> </w:t>
      </w:r>
      <w:r>
        <w:rPr>
          <w:lang w:val="sr-Cyrl-RS"/>
        </w:rPr>
        <w:t>regulativa</w:t>
      </w:r>
      <w:r w:rsidRPr="001015E3">
        <w:rPr>
          <w:lang w:val="sr-Cyrl-RS"/>
        </w:rPr>
        <w:t xml:space="preserve"> </w:t>
      </w:r>
      <w:r>
        <w:rPr>
          <w:lang w:val="sr-Cyrl-RS"/>
        </w:rPr>
        <w:t>u</w:t>
      </w:r>
      <w:r w:rsidRPr="001015E3">
        <w:rPr>
          <w:lang w:val="sr-Cyrl-RS"/>
        </w:rPr>
        <w:t xml:space="preserve"> </w:t>
      </w:r>
      <w:r>
        <w:rPr>
          <w:lang w:val="sr-Cyrl-RS"/>
        </w:rPr>
        <w:t>vezi</w:t>
      </w:r>
      <w:r w:rsidRPr="001015E3">
        <w:rPr>
          <w:lang w:val="sr-Cyrl-RS"/>
        </w:rPr>
        <w:t xml:space="preserve"> </w:t>
      </w:r>
      <w:r>
        <w:rPr>
          <w:lang w:val="sr-Cyrl-RS"/>
        </w:rPr>
        <w:t>s</w:t>
      </w:r>
      <w:r w:rsidRPr="001015E3">
        <w:rPr>
          <w:lang w:val="sr-Cyrl-RS"/>
        </w:rPr>
        <w:t xml:space="preserve"> </w:t>
      </w:r>
      <w:r>
        <w:rPr>
          <w:lang w:val="sr-Cyrl-RS"/>
        </w:rPr>
        <w:t>spoljnotrgovinskim</w:t>
      </w:r>
      <w:r w:rsidRPr="001015E3">
        <w:rPr>
          <w:lang w:val="sr-Cyrl-RS"/>
        </w:rPr>
        <w:t xml:space="preserve"> </w:t>
      </w:r>
      <w:r>
        <w:rPr>
          <w:lang w:val="sr-Cyrl-RS"/>
        </w:rPr>
        <w:t>prometom</w:t>
      </w:r>
      <w:r w:rsidRPr="001015E3">
        <w:rPr>
          <w:lang w:val="sr-Cyrl-RS"/>
        </w:rPr>
        <w:t xml:space="preserve"> </w:t>
      </w:r>
      <w:r>
        <w:rPr>
          <w:lang w:val="sr-Cyrl-RS"/>
        </w:rPr>
        <w:t>naoružanja</w:t>
      </w:r>
      <w:r w:rsidRPr="001015E3">
        <w:rPr>
          <w:lang w:val="sr-Cyrl-RS"/>
        </w:rPr>
        <w:t xml:space="preserve"> </w:t>
      </w:r>
      <w:r>
        <w:rPr>
          <w:lang w:val="sr-Cyrl-RS"/>
        </w:rPr>
        <w:t>i</w:t>
      </w:r>
      <w:r w:rsidRPr="001015E3">
        <w:rPr>
          <w:lang w:val="sr-Cyrl-RS"/>
        </w:rPr>
        <w:t xml:space="preserve"> </w:t>
      </w:r>
      <w:r>
        <w:rPr>
          <w:lang w:val="sr-Cyrl-RS"/>
        </w:rPr>
        <w:t>vojne</w:t>
      </w:r>
      <w:r w:rsidRPr="001015E3">
        <w:rPr>
          <w:lang w:val="sr-Cyrl-RS"/>
        </w:rPr>
        <w:t xml:space="preserve"> </w:t>
      </w:r>
      <w:r>
        <w:rPr>
          <w:lang w:val="sr-Cyrl-RS"/>
        </w:rPr>
        <w:t>opreme</w:t>
      </w:r>
      <w:r w:rsidRPr="001015E3">
        <w:rPr>
          <w:lang w:val="sr-Cyrl-RS"/>
        </w:rPr>
        <w:t xml:space="preserve"> </w:t>
      </w:r>
      <w:r>
        <w:rPr>
          <w:lang w:val="sr-Cyrl-RS"/>
        </w:rPr>
        <w:t>u</w:t>
      </w:r>
      <w:r w:rsidRPr="001015E3">
        <w:rPr>
          <w:lang w:val="sr-Cyrl-RS"/>
        </w:rPr>
        <w:t xml:space="preserve"> </w:t>
      </w:r>
      <w:r>
        <w:rPr>
          <w:lang w:val="sr-Cyrl-RS"/>
        </w:rPr>
        <w:t>BiH</w:t>
      </w:r>
      <w:r w:rsidRPr="001015E3">
        <w:rPr>
          <w:lang w:val="sr-Cyrl-RS"/>
        </w:rPr>
        <w:t xml:space="preserve">, </w:t>
      </w:r>
      <w:r>
        <w:rPr>
          <w:lang w:val="sr-Cyrl-RS"/>
        </w:rPr>
        <w:t>Hrvatskoj</w:t>
      </w:r>
      <w:r w:rsidRPr="001015E3">
        <w:rPr>
          <w:lang w:val="sr-Cyrl-RS"/>
        </w:rPr>
        <w:t xml:space="preserve"> </w:t>
      </w:r>
      <w:r>
        <w:rPr>
          <w:lang w:val="sr-Cyrl-RS"/>
        </w:rPr>
        <w:t>i</w:t>
      </w:r>
      <w:r w:rsidRPr="001015E3">
        <w:rPr>
          <w:lang w:val="sr-Cyrl-RS"/>
        </w:rPr>
        <w:t xml:space="preserve"> </w:t>
      </w:r>
      <w:r>
        <w:rPr>
          <w:lang w:val="sr-Cyrl-RS"/>
        </w:rPr>
        <w:t>Crnoj</w:t>
      </w:r>
      <w:r w:rsidRPr="001015E3">
        <w:rPr>
          <w:lang w:val="sr-Cyrl-RS"/>
        </w:rPr>
        <w:t xml:space="preserve"> </w:t>
      </w:r>
      <w:r>
        <w:rPr>
          <w:lang w:val="sr-Cyrl-RS"/>
        </w:rPr>
        <w:t>Gori</w:t>
      </w:r>
      <w:bookmarkEnd w:id="2"/>
    </w:p>
    <w:p w:rsidR="001015E3" w:rsidRPr="00657122" w:rsidRDefault="001015E3" w:rsidP="001015E3">
      <w:pPr>
        <w:pStyle w:val="Heading2"/>
        <w:rPr>
          <w:lang w:val="sr-Cyrl-RS"/>
        </w:rPr>
      </w:pPr>
      <w:bookmarkStart w:id="3" w:name="_Toc400543693"/>
      <w:r>
        <w:rPr>
          <w:lang w:val="bs-Cyrl-BA"/>
        </w:rPr>
        <w:t>B</w:t>
      </w:r>
      <w:r>
        <w:rPr>
          <w:lang w:val="sr-Cyrl-RS"/>
        </w:rPr>
        <w:t>osna i Hercegovina</w:t>
      </w:r>
      <w:bookmarkEnd w:id="3"/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Procedure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uvoza i izvoza, kao i privremenog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tranzit i ponovni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 roba regulisani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carinskoj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politici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(''Službeni glasnik BiH'', br. 57/04) 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Odlukom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aktuelnim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donesenom na osnovu Zakona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carinskoj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politici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BiH </w:t>
      </w:r>
      <w:r w:rsidRPr="00657122">
        <w:rPr>
          <w:rFonts w:ascii="Arial" w:hAnsi="Arial" w:cs="Arial"/>
          <w:sz w:val="20"/>
          <w:szCs w:val="20"/>
          <w:lang w:val="sr-Cyrl-RS"/>
        </w:rPr>
        <w:t>(''</w:t>
      </w:r>
      <w:r>
        <w:rPr>
          <w:rFonts w:ascii="Arial" w:hAnsi="Arial" w:cs="Arial"/>
          <w:sz w:val="20"/>
          <w:szCs w:val="20"/>
          <w:lang w:val="sr-Cyrl-RS"/>
        </w:rPr>
        <w:t>Službeni glasnik BiH'', broj 63a/04).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 regulisan je pored navedenog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(''</w:t>
      </w:r>
      <w:r>
        <w:rPr>
          <w:rFonts w:ascii="Arial" w:hAnsi="Arial" w:cs="Arial"/>
          <w:sz w:val="20"/>
          <w:szCs w:val="20"/>
          <w:lang w:val="sr-Cyrl-RS"/>
        </w:rPr>
        <w:t>Službeni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'',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5/03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33/03), </w:t>
      </w:r>
      <w:r>
        <w:rPr>
          <w:rFonts w:ascii="Arial" w:hAnsi="Arial" w:cs="Arial"/>
          <w:sz w:val="20"/>
          <w:szCs w:val="20"/>
          <w:lang w:val="sr-Cyrl-RS"/>
        </w:rPr>
        <w:t>te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Uredbom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regulisanju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tranzita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posredovanja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(''</w:t>
      </w:r>
      <w:r>
        <w:rPr>
          <w:rFonts w:ascii="Arial" w:hAnsi="Arial" w:cs="Arial"/>
          <w:sz w:val="20"/>
          <w:szCs w:val="20"/>
          <w:lang w:val="sr-Cyrl-RS"/>
        </w:rPr>
        <w:t>Službeni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'',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14/03); </w:t>
      </w:r>
    </w:p>
    <w:p w:rsidR="001015E3" w:rsidRPr="00442E47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Oružjem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njihovim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rezervnim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delovima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smislu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podrazumevaju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 zajedničke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obuhvaćene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Pravilima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Evropske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(''</w:t>
      </w:r>
      <w:r>
        <w:rPr>
          <w:rFonts w:ascii="Arial" w:hAnsi="Arial" w:cs="Arial"/>
          <w:sz w:val="20"/>
          <w:szCs w:val="20"/>
          <w:lang w:val="sr-Cyrl-RS"/>
        </w:rPr>
        <w:t>Službeni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'',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9/03)</w:t>
      </w:r>
      <w:r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442E47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Prilogu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1. </w:t>
      </w:r>
      <w:r>
        <w:rPr>
          <w:rFonts w:ascii="Arial" w:hAnsi="Arial" w:cs="Arial"/>
          <w:sz w:val="20"/>
          <w:szCs w:val="20"/>
          <w:lang w:val="sr-Cyrl-RS"/>
        </w:rPr>
        <w:t>Uputstva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regulisanju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tranzita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posredovanja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tarifnim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oznakama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Carinske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tarife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lista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municije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specijalne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442E47">
        <w:rPr>
          <w:rFonts w:ascii="Arial" w:hAnsi="Arial" w:cs="Arial"/>
          <w:sz w:val="20"/>
          <w:szCs w:val="20"/>
          <w:lang w:val="sr-Cyrl-RS"/>
        </w:rPr>
        <w:t>/</w:t>
      </w:r>
      <w:r>
        <w:rPr>
          <w:rFonts w:ascii="Arial" w:hAnsi="Arial" w:cs="Arial"/>
          <w:sz w:val="20"/>
          <w:szCs w:val="20"/>
          <w:lang w:val="sr-Cyrl-RS"/>
        </w:rPr>
        <w:t>materijala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pripadajućih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tehnologija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teritorije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Prilogu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2. </w:t>
      </w:r>
      <w:r>
        <w:rPr>
          <w:rFonts w:ascii="Arial" w:hAnsi="Arial" w:cs="Arial"/>
          <w:sz w:val="20"/>
          <w:szCs w:val="20"/>
          <w:lang w:val="sr-Cyrl-RS"/>
        </w:rPr>
        <w:t>data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posredovanju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opremom.</w:t>
      </w:r>
    </w:p>
    <w:p w:rsidR="001015E3" w:rsidRPr="00442E47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Prema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odredbama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4.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sva fizička i pravna lica koja su uključena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posredovanje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registrovana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kod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ekonomskih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registracije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uređen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proceduri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registracije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pravnih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fizičkih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(''</w:t>
      </w:r>
      <w:r>
        <w:rPr>
          <w:rFonts w:ascii="Arial" w:hAnsi="Arial" w:cs="Arial"/>
          <w:sz w:val="20"/>
          <w:szCs w:val="20"/>
          <w:lang w:val="sr-Cyrl-RS"/>
        </w:rPr>
        <w:t>Službeni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glasnik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'', </w:t>
      </w:r>
      <w:r>
        <w:rPr>
          <w:rFonts w:ascii="Arial" w:hAnsi="Arial" w:cs="Arial"/>
          <w:sz w:val="20"/>
          <w:szCs w:val="20"/>
          <w:lang w:val="sr-Cyrl-RS"/>
        </w:rPr>
        <w:t>broj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14/03).</w:t>
      </w:r>
      <w:r>
        <w:rPr>
          <w:rFonts w:ascii="Arial" w:hAnsi="Arial" w:cs="Arial"/>
          <w:sz w:val="20"/>
          <w:szCs w:val="20"/>
          <w:lang w:val="sr-Cyrl-RS"/>
        </w:rPr>
        <w:t xml:space="preserve"> Napred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saglasno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5.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posredovanje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vojnom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opremom, koju, saglasno Uredbi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regulisanju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izvoza</w:t>
      </w:r>
      <w:r w:rsidRPr="00442E47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tranzita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posredovanja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ekonomskih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mišljenja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Stalnog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komiteta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442E47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lovačkih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pušaka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podležu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plaća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stopi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utvrđenoj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Carinskoj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tarifi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taksa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carinsko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evidentiranje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iznosu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1%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carinske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vrednosti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12.</w:t>
      </w:r>
      <w:r>
        <w:rPr>
          <w:rFonts w:ascii="Arial" w:hAnsi="Arial" w:cs="Arial"/>
          <w:sz w:val="20"/>
          <w:szCs w:val="20"/>
          <w:lang w:val="sr-Cyrl-RS"/>
        </w:rPr>
        <w:t xml:space="preserve"> stav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2.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carinskoj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politici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BiH</w:t>
      </w:r>
      <w:r w:rsidRPr="00442E47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procedure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obavljanja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delatnosti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municije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lovačke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puške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tj</w:t>
      </w:r>
      <w:r w:rsidRPr="00442E47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>registracije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delatnosti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uređeno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ova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izjašnjavati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jer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njenoj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nadležnosti, osim što možemo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ukazati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pogledu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municije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lovačke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puške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svemu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ispunjeni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prvenstveno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takve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zavisnosti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vrste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namene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porekla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okolnosti</w:t>
      </w:r>
      <w:r w:rsidRPr="00442E47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8369EF" w:rsidRDefault="001015E3" w:rsidP="001015E3">
      <w:pPr>
        <w:pStyle w:val="Heading2"/>
        <w:rPr>
          <w:lang w:val="sr-Cyrl-RS"/>
        </w:rPr>
      </w:pPr>
      <w:bookmarkStart w:id="4" w:name="_Toc400543694"/>
      <w:r>
        <w:rPr>
          <w:lang w:val="sr-Cyrl-RS"/>
        </w:rPr>
        <w:t>Hrvatska</w:t>
      </w:r>
      <w:bookmarkEnd w:id="4"/>
    </w:p>
    <w:p w:rsidR="001015E3" w:rsidRPr="008369EF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remontu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prometu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 i vojne opreme (NN, br.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63/07, 146/08, 59/12</w:t>
      </w:r>
      <w:r>
        <w:rPr>
          <w:rFonts w:ascii="Arial" w:hAnsi="Arial" w:cs="Arial"/>
          <w:sz w:val="20"/>
          <w:szCs w:val="20"/>
          <w:lang w:val="sr-Cyrl-RS"/>
        </w:rPr>
        <w:t>) uređuje promet naoružanja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 (NVO).</w:t>
      </w:r>
    </w:p>
    <w:p w:rsidR="001015E3" w:rsidRPr="008369EF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Promet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NVO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pružanje usluga u vezi s NVO</w:t>
      </w:r>
      <w:r w:rsidRPr="008369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Poslovi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 odnose se na nabavku, prodaju 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nabavku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prodaje</w:t>
      </w:r>
      <w:r w:rsidRPr="008369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Poslovi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pružanja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odnose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prevoz</w:t>
      </w:r>
      <w:r w:rsidRPr="008369E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smeštaj, održavanje i čuvanje NVO</w:t>
      </w:r>
      <w:r w:rsidRPr="008369EF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47407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Promet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obavljati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proizvođači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trgovini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Proizvođači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minsko</w:t>
      </w:r>
      <w:r w:rsidRPr="00A456EF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eksplozivnih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sredstava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obavljaju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sredstvima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odredbama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međunarodnim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normama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konvencijama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Proizvođači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 obavezi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evidenciju o stavljanju u promet 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prilikom svakog stavljanja u promet NVO dužni su da dostavljaju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izvode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evidencije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unutrašnjih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Ministarstvo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unutrašnjih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evidenciju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izdatim dozvolama za izvoz i uvoz NVO namenjenog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Oružanim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snagama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odnosno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unutrašnjih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najmanje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jednom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godišnje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izveštavaju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Vladu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 o izvezenom i uvezenom 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godinu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staviti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promet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utvrđena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zahtevima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odredbama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Prevoz 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preko teritorije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obavljati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preko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graničnih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prelaza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 međudržavnim ugovorom nije drugačije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Odobrenje za prevoz NVO preko teritorije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Republike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Hrvatske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unutrašnjih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uz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Na prevoz 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odgovarajući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način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primenjuju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prevozu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A456EF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Ugovor o nabavci 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inostranim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dobavljačem, zavisno od vrednosti NVO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nabavlja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sklopiti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»</w:t>
      </w:r>
      <w:r w:rsidRPr="00794213">
        <w:rPr>
          <w:rFonts w:ascii="Arial" w:hAnsi="Arial" w:cs="Arial"/>
          <w:sz w:val="20"/>
          <w:szCs w:val="20"/>
        </w:rPr>
        <w:t>OFF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94213">
        <w:rPr>
          <w:rFonts w:ascii="Arial" w:hAnsi="Arial" w:cs="Arial"/>
          <w:sz w:val="20"/>
          <w:szCs w:val="20"/>
        </w:rPr>
        <w:t>SET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94213">
        <w:rPr>
          <w:rFonts w:ascii="Arial" w:hAnsi="Arial" w:cs="Arial"/>
          <w:sz w:val="20"/>
          <w:szCs w:val="20"/>
        </w:rPr>
        <w:t>PROGRAM</w:t>
      </w:r>
      <w:r w:rsidRPr="00A456EF">
        <w:rPr>
          <w:rFonts w:ascii="Arial" w:hAnsi="Arial" w:cs="Arial"/>
          <w:sz w:val="20"/>
          <w:szCs w:val="20"/>
          <w:lang w:val="sr-Cyrl-RS"/>
        </w:rPr>
        <w:t xml:space="preserve">«. </w:t>
      </w:r>
      <w:r>
        <w:rPr>
          <w:rFonts w:ascii="Arial" w:hAnsi="Arial" w:cs="Arial"/>
          <w:sz w:val="20"/>
          <w:szCs w:val="20"/>
          <w:lang w:val="sr-Cyrl-RS"/>
        </w:rPr>
        <w:t>Ministar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privrede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predložiće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uredbu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načinu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uslovima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primene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»</w:t>
      </w:r>
      <w:r w:rsidRPr="00794213">
        <w:rPr>
          <w:rFonts w:ascii="Arial" w:hAnsi="Arial" w:cs="Arial"/>
          <w:sz w:val="20"/>
          <w:szCs w:val="20"/>
        </w:rPr>
        <w:t>OFF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94213">
        <w:rPr>
          <w:rFonts w:ascii="Arial" w:hAnsi="Arial" w:cs="Arial"/>
          <w:sz w:val="20"/>
          <w:szCs w:val="20"/>
        </w:rPr>
        <w:t>SET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94213">
        <w:rPr>
          <w:rFonts w:ascii="Arial" w:hAnsi="Arial" w:cs="Arial"/>
          <w:sz w:val="20"/>
          <w:szCs w:val="20"/>
        </w:rPr>
        <w:t>PROGRAMA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«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sklapanju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ugovora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nabavku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NVO</w:t>
      </w:r>
      <w:r w:rsidRPr="00474079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inostranim</w:t>
      </w:r>
      <w:r w:rsidRPr="0047407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dobavljačem</w:t>
      </w:r>
      <w:r w:rsidRPr="00474079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zaštita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prometa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remonta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NVO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sprovodi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tajnosti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podataka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eksplozivnim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materijama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lastRenderedPageBreak/>
        <w:t>propisima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okoline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 rukovanju opasnim materijama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Mere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 obavezni da sprovode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proizvođači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naučno-istraživačke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institucije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Oružane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unutrašnjih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svojim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remontnim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kapacitetima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 ostali učesnici u prometu NVO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Opšte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čine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celovit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sistem osiguranja i zaštite  propisuje ministar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Nadzor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mera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 sprovode nadležne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unutrašnjih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Pod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tajnim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podacima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području proizvodnje i prometa NVO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Oružanih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snaga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podrazumevaju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267C59">
        <w:rPr>
          <w:rFonts w:ascii="Arial" w:hAnsi="Arial" w:cs="Arial"/>
          <w:sz w:val="20"/>
          <w:szCs w:val="20"/>
          <w:lang w:val="sr-Cyrl-RS"/>
        </w:rPr>
        <w:t>: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1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hr-HR"/>
        </w:rPr>
        <w:t>podaci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planovima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NVO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ostvarenju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 xml:space="preserve">2.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programima istraživanja i razvoja NVO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 xml:space="preserve">3.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kapacitetima za proizvodnju NVO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 xml:space="preserve">4.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tehnološkom postupku proizvodnje NVO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konstrukcijskoj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dokumentaciji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5. podaci o uvozu i izvozu NVO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 xml:space="preserve">6.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naučno-tehničkoj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drugoj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saradnji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inostranim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partnerom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</w:p>
    <w:p w:rsidR="001015E3" w:rsidRPr="00267C5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267C59">
        <w:rPr>
          <w:rFonts w:ascii="Arial" w:hAnsi="Arial" w:cs="Arial"/>
          <w:sz w:val="20"/>
          <w:szCs w:val="20"/>
          <w:lang w:val="sr-Cyrl-RS"/>
        </w:rPr>
        <w:t xml:space="preserve">7. </w:t>
      </w:r>
      <w:r>
        <w:rPr>
          <w:rFonts w:ascii="Arial" w:hAnsi="Arial" w:cs="Arial"/>
          <w:sz w:val="20"/>
          <w:szCs w:val="20"/>
          <w:lang w:val="sr-Cyrl-RS"/>
        </w:rPr>
        <w:t>podaci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formiranju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obnavljanju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korišćenju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prostornom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razmeštanju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ratnih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materijalnih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rezervi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remonta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Proizvođači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 obavezi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 organizuju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osiguranje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kapaciteta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pristupa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neovlaštenih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odgovarajućom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fizičko</w:t>
      </w:r>
      <w:r w:rsidRPr="00267C59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tehničkom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osoba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imovine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267C59" w:rsidRDefault="001015E3" w:rsidP="001015E3">
      <w:pPr>
        <w:pStyle w:val="Heading2"/>
        <w:rPr>
          <w:lang w:val="sr-Cyrl-RS"/>
        </w:rPr>
      </w:pPr>
      <w:bookmarkStart w:id="5" w:name="_Toc400543695"/>
      <w:r>
        <w:rPr>
          <w:lang w:val="sr-Cyrl-RS"/>
        </w:rPr>
        <w:t>Crna Gora</w:t>
      </w:r>
      <w:bookmarkEnd w:id="5"/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Zakonom o spoljnoj trgovini naoružanjem, vojnom opremom i robom dvostruke namene (Službeni list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RCG, br. 7/09 od 01.07.2009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) </w:t>
      </w:r>
      <w:r>
        <w:rPr>
          <w:rFonts w:ascii="Arial" w:hAnsi="Arial" w:cs="Arial"/>
          <w:sz w:val="20"/>
          <w:szCs w:val="20"/>
          <w:lang w:val="sr-Cyrl-RS"/>
        </w:rPr>
        <w:t>uređuju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vršiti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naoružanjem</w:t>
      </w:r>
      <w:r w:rsidRPr="00267C59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>vojnom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dvostruke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daljem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tekstu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kontrolisana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), </w:t>
      </w:r>
      <w:r>
        <w:rPr>
          <w:rFonts w:ascii="Arial" w:hAnsi="Arial" w:cs="Arial"/>
          <w:sz w:val="20"/>
          <w:szCs w:val="20"/>
          <w:lang w:val="sr-Cyrl-RS"/>
        </w:rPr>
        <w:t>pružanje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usluga 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kontrolisanom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izdavanje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nadležnost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nadzor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sprovođenjem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pitanja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značaja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kontrolisanom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robom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Ovim zakonom obezbeđuju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uspostavljanje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vršenju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kontrolisanom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robom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ostvarivanja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odbrambenih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bezbednosnih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spoljnopolitičkih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interesa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Crne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Gore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obezbeđenja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poštovanja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međunarodnih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preuzela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Crna</w:t>
      </w:r>
      <w:r w:rsidRPr="00267C59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Gora</w:t>
      </w:r>
      <w:r w:rsidRPr="00267C59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Spoljnu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kontrolisanom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robom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obavljanje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kontrolisanom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robom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izdatu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C63C6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Lice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dužno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započinjanja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spoljnotrgovinskog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utvrdi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predmetna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spada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kategoriju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kontrolisane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C63C6B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Na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postupke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vode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 skladu s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primenjuju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uređuje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upravni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postupak, ukoliko ovim zakonom nije drugačije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propisano</w:t>
      </w:r>
      <w:r w:rsidRPr="00C63C6B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Tehnička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 regulisana je članom 5. Zakona o spoljnoj trgovini naoružanjem,</w:t>
      </w:r>
      <w:r w:rsidRPr="004D277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vojnom opremom i robom dvostruke namene kojim se 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zabranjuje promet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>: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 namenjena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proizvodnjom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rukovanjem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radom</w:t>
      </w:r>
      <w:r w:rsidRPr="0097616B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održavanjem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gomilanjem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skladištenjem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identifikovanjem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širenjem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hemijskog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 biološkog oružja, nuklearnog oružja ili drugih atomskih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bojevih glava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razvojem</w:t>
      </w:r>
      <w:r w:rsidRPr="0097616B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proizvodnjom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održavanjem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gomilanjem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projektila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pogodnih za lansiranje tog oružja;</w:t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 xml:space="preserve"> namenjena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krajnjeg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odredišta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nalaze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embargom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Zajedničkog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Zajedničke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akcije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usvojio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Organizacije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bezbednost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saradnju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obavezujuće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rezolucije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bezbednosti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Ujedinjenih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nacija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Odredbe ovog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odnosi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pružanje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tehničke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pomoći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C63C6B">
        <w:rPr>
          <w:rFonts w:ascii="Arial" w:hAnsi="Arial" w:cs="Arial"/>
          <w:sz w:val="20"/>
          <w:szCs w:val="20"/>
          <w:lang w:val="sr-Cyrl-RS"/>
        </w:rPr>
        <w:t>:</w:t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C63C6B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 xml:space="preserve"> državama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članicama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Australiji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Kanadi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Japanu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Novom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Zelandu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Norveškoj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Švajcarskoj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Sjedinjenim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Američkim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Državama,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 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vidu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prenosa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informacija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 opšte poznate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predstavljaju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osnovna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naučna</w:t>
      </w:r>
      <w:r w:rsidRPr="00C63C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istraživanja</w:t>
      </w:r>
      <w:r w:rsidRPr="00C63C6B">
        <w:rPr>
          <w:rFonts w:ascii="Arial" w:hAnsi="Arial" w:cs="Arial"/>
          <w:sz w:val="20"/>
          <w:szCs w:val="20"/>
          <w:lang w:val="sr-Cyrl-RS"/>
        </w:rPr>
        <w:t>,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 xml:space="preserve">- </w:t>
      </w:r>
      <w:r>
        <w:rPr>
          <w:rFonts w:ascii="Arial" w:hAnsi="Arial" w:cs="Arial"/>
          <w:sz w:val="20"/>
          <w:szCs w:val="20"/>
          <w:lang w:val="sr-Cyrl-RS"/>
        </w:rPr>
        <w:t xml:space="preserve">u </w:t>
      </w:r>
      <w:r>
        <w:rPr>
          <w:rFonts w:ascii="Arial" w:hAnsi="Arial" w:cs="Arial"/>
          <w:sz w:val="20"/>
          <w:szCs w:val="20"/>
          <w:lang w:val="bs-Cyrl-BA"/>
        </w:rPr>
        <w:t>usmenoj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formi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ako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navedenoj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kontrolnim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listama</w:t>
      </w:r>
      <w:r w:rsidRPr="00C63C6B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U skladu s članom 6. Zakona</w:t>
      </w:r>
      <w:r>
        <w:rPr>
          <w:rFonts w:ascii="Arial" w:hAnsi="Arial" w:cs="Arial"/>
          <w:sz w:val="20"/>
          <w:szCs w:val="20"/>
          <w:lang w:val="sr-Cyrl-RS"/>
        </w:rPr>
        <w:t xml:space="preserve"> o spoljnoj trgovini  naoružanjem, vojnom opremom</w:t>
      </w:r>
      <w:r w:rsidRPr="00CC692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robom dvostruke namene</w:t>
      </w:r>
      <w:r>
        <w:rPr>
          <w:rFonts w:ascii="Arial" w:hAnsi="Arial" w:cs="Arial"/>
          <w:sz w:val="20"/>
          <w:szCs w:val="20"/>
          <w:lang w:val="bs-Cyrl-BA"/>
        </w:rPr>
        <w:t xml:space="preserve"> nadležni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donošenje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nacionalnih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kontrolnih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Vlada Crne Gore (u daljem tekstu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Vlada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),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predlog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poslove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spoljne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u daljem tekstu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), </w:t>
      </w:r>
      <w:r>
        <w:rPr>
          <w:rFonts w:ascii="Arial" w:hAnsi="Arial" w:cs="Arial"/>
          <w:sz w:val="20"/>
          <w:szCs w:val="20"/>
          <w:lang w:val="bs-Cyrl-BA"/>
        </w:rPr>
        <w:t>donosi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ažurira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kontrolnu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naoružanja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opreme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kontrolnu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dvostruke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radi</w:t>
      </w:r>
      <w:r w:rsidRPr="00C63C6B">
        <w:rPr>
          <w:rFonts w:ascii="Arial" w:hAnsi="Arial" w:cs="Arial"/>
          <w:sz w:val="20"/>
          <w:szCs w:val="20"/>
          <w:lang w:val="bs-Cyrl-BA"/>
        </w:rPr>
        <w:t>: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 xml:space="preserve">- </w:t>
      </w:r>
      <w:r>
        <w:rPr>
          <w:rFonts w:ascii="Arial" w:hAnsi="Arial" w:cs="Arial"/>
          <w:sz w:val="20"/>
          <w:szCs w:val="20"/>
          <w:lang w:val="bs-Cyrl-BA"/>
        </w:rPr>
        <w:t>harmonizacije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zakonodavstva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zakonodavstvom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Evropske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unije</w:t>
      </w:r>
      <w:r w:rsidRPr="00C63C6B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>-</w:t>
      </w:r>
      <w:r>
        <w:rPr>
          <w:rFonts w:ascii="Arial" w:hAnsi="Arial" w:cs="Arial"/>
          <w:sz w:val="20"/>
          <w:szCs w:val="20"/>
          <w:lang w:val="bs-Cyrl-BA"/>
        </w:rPr>
        <w:t>sprovođenja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sankcija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protiv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određenih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država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entiteta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primenu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konvencija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oblasti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transfera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tehnologije</w:t>
      </w:r>
      <w:r w:rsidRPr="00C63C6B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 xml:space="preserve">- </w:t>
      </w:r>
      <w:r>
        <w:rPr>
          <w:rFonts w:ascii="Arial" w:hAnsi="Arial" w:cs="Arial"/>
          <w:sz w:val="20"/>
          <w:szCs w:val="20"/>
          <w:lang w:val="bs-Cyrl-BA"/>
        </w:rPr>
        <w:t>interesa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odbrane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bezbednosti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Crne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Gore</w:t>
      </w:r>
      <w:r w:rsidRPr="00C63C6B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t>-</w:t>
      </w:r>
      <w:r>
        <w:rPr>
          <w:rFonts w:ascii="Arial" w:hAnsi="Arial" w:cs="Arial"/>
          <w:sz w:val="20"/>
          <w:szCs w:val="20"/>
          <w:lang w:val="bs-Cyrl-BA"/>
        </w:rPr>
        <w:t xml:space="preserve"> kontrolisanja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robom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biti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potpunosti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upotrebljena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razvoj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proizvodnju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rukovanje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delovanje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održavanje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drugo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servisiranje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gomilanje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skladištenje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identifikovanje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testiranje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širenje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hemijskog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biološkog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nuklearnog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drugih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atomskih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bojevih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glava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svrhu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razvoja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proizvodnje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održavanja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servisiranja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testiranja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gomilanja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širenje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projektila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drugih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nosača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takvog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C63C6B">
        <w:rPr>
          <w:rFonts w:ascii="Arial" w:hAnsi="Arial" w:cs="Arial"/>
          <w:sz w:val="20"/>
          <w:szCs w:val="20"/>
          <w:lang w:val="bs-Cyrl-BA"/>
        </w:rPr>
        <w:t>,</w:t>
      </w:r>
    </w:p>
    <w:p w:rsidR="001015E3" w:rsidRPr="00C63C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C63C6B">
        <w:rPr>
          <w:rFonts w:ascii="Arial" w:hAnsi="Arial" w:cs="Arial"/>
          <w:sz w:val="20"/>
          <w:szCs w:val="20"/>
          <w:lang w:val="bs-Cyrl-BA"/>
        </w:rPr>
        <w:lastRenderedPageBreak/>
        <w:t xml:space="preserve">- </w:t>
      </w:r>
      <w:r>
        <w:rPr>
          <w:rFonts w:ascii="Arial" w:hAnsi="Arial" w:cs="Arial"/>
          <w:sz w:val="20"/>
          <w:szCs w:val="20"/>
          <w:lang w:val="bs-Cyrl-BA"/>
        </w:rPr>
        <w:t>kontrolisanja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oružjem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municijom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eksplozivnim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napravama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ostalom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robom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napravljena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namenjena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svrhe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nije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navedena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alineji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3 </w:t>
      </w:r>
      <w:r>
        <w:rPr>
          <w:rFonts w:ascii="Arial" w:hAnsi="Arial" w:cs="Arial"/>
          <w:sz w:val="20"/>
          <w:szCs w:val="20"/>
          <w:lang w:val="bs-Cyrl-BA"/>
        </w:rPr>
        <w:t>ovog</w:t>
      </w:r>
      <w:r w:rsidRPr="00C63C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člana</w:t>
      </w:r>
      <w:r w:rsidRPr="00C63C6B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Za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izvoz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dvostruke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nisu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navedene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Nacionalnoj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kontrolnoj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dvostruke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neophodna je dozvola, ukoliko je prema članu 7. Zakona</w:t>
      </w:r>
      <w:r>
        <w:rPr>
          <w:rFonts w:ascii="Arial" w:hAnsi="Arial" w:cs="Arial"/>
          <w:sz w:val="20"/>
          <w:szCs w:val="20"/>
          <w:lang w:val="sr-Cyrl-RS"/>
        </w:rPr>
        <w:t xml:space="preserve"> o spoljnoj trgovini  naoružanjem, vojnom opremom</w:t>
      </w:r>
      <w:r w:rsidRPr="00CC692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robom dvostruke namene</w:t>
      </w:r>
      <w:r>
        <w:rPr>
          <w:rFonts w:ascii="Arial" w:hAnsi="Arial" w:cs="Arial"/>
          <w:sz w:val="20"/>
          <w:szCs w:val="20"/>
          <w:lang w:val="bs-Cyrl-BA"/>
        </w:rPr>
        <w:t>: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616B">
        <w:rPr>
          <w:rFonts w:ascii="Arial" w:hAnsi="Arial" w:cs="Arial"/>
          <w:sz w:val="20"/>
          <w:szCs w:val="20"/>
          <w:lang w:val="bs-Cyrl-BA"/>
        </w:rPr>
        <w:t xml:space="preserve">1) </w:t>
      </w:r>
      <w:r>
        <w:rPr>
          <w:rFonts w:ascii="Arial" w:hAnsi="Arial" w:cs="Arial"/>
          <w:sz w:val="20"/>
          <w:szCs w:val="20"/>
          <w:lang w:val="bs-Cyrl-BA"/>
        </w:rPr>
        <w:t>izvoznik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strane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obavešten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namenjena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biti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namenjena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celosti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delimično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vezi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razvojem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proizvodnjom</w:t>
      </w:r>
      <w:r w:rsidRPr="0097616B">
        <w:rPr>
          <w:rFonts w:ascii="Arial" w:hAnsi="Arial" w:cs="Arial"/>
          <w:sz w:val="20"/>
          <w:szCs w:val="20"/>
          <w:lang w:val="bs-Cyrl-BA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manipulisanjem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korišćenjem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čuvanjem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detekcijom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identifikacijom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širenjem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hemijskog</w:t>
      </w:r>
      <w:r w:rsidRPr="0097616B">
        <w:rPr>
          <w:rFonts w:ascii="Arial" w:hAnsi="Arial" w:cs="Arial"/>
          <w:sz w:val="20"/>
          <w:szCs w:val="20"/>
          <w:lang w:val="bs-Cyrl-BA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biološkog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nuklearnog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drugih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nuklearnih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eksplozivnih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uređaja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vezi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razvojem</w:t>
      </w:r>
      <w:r w:rsidRPr="0097616B">
        <w:rPr>
          <w:rFonts w:ascii="Arial" w:hAnsi="Arial" w:cs="Arial"/>
          <w:sz w:val="20"/>
          <w:szCs w:val="20"/>
          <w:lang w:val="bs-Cyrl-BA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proizvodnjom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održavanjem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skladištenjem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projektila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kojima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takvo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upotrebiti</w:t>
      </w:r>
      <w:r w:rsidRPr="0097616B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97616B">
        <w:rPr>
          <w:rFonts w:ascii="Arial" w:hAnsi="Arial" w:cs="Arial"/>
          <w:sz w:val="20"/>
          <w:szCs w:val="20"/>
          <w:lang w:val="bs-Cyrl-BA"/>
        </w:rPr>
        <w:t xml:space="preserve">2) </w:t>
      </w:r>
      <w:r>
        <w:rPr>
          <w:rFonts w:ascii="Arial" w:hAnsi="Arial" w:cs="Arial"/>
          <w:sz w:val="20"/>
          <w:szCs w:val="20"/>
          <w:lang w:val="bs-Cyrl-BA"/>
        </w:rPr>
        <w:t>država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kupac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država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odredišta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embargom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naoružanje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skladu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odlukom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donesenom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putem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zajedničkog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stava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zajedničke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mere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usvojio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Savet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Evropske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unije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odlukom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Organizacije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evropsku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bezbednost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saradnju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embargom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naoružanje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donesen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obavezujuće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odluke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Saveta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bezbednosti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Ujedinjenih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nacija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izvoznik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strane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obavešten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namenjene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mogu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biti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namenjene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celosti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delimično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krajnju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namenu</w:t>
      </w:r>
      <w:r w:rsidRPr="0097616B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bs-Cyrl-BA"/>
        </w:rPr>
        <w:t xml:space="preserve">3) </w:t>
      </w:r>
      <w:r>
        <w:rPr>
          <w:rFonts w:ascii="Arial" w:hAnsi="Arial" w:cs="Arial"/>
          <w:sz w:val="20"/>
          <w:szCs w:val="20"/>
          <w:lang w:val="bs-Cyrl-BA"/>
        </w:rPr>
        <w:t>izvoznik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strane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obavešten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namenjena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bit</w:t>
      </w:r>
      <w:r>
        <w:rPr>
          <w:rFonts w:ascii="Arial" w:hAnsi="Arial" w:cs="Arial"/>
          <w:sz w:val="20"/>
          <w:szCs w:val="20"/>
          <w:lang w:val="sr-Cyrl-RS"/>
        </w:rPr>
        <w:t xml:space="preserve">i </w:t>
      </w:r>
      <w:r>
        <w:rPr>
          <w:rFonts w:ascii="Arial" w:hAnsi="Arial" w:cs="Arial"/>
          <w:sz w:val="20"/>
          <w:szCs w:val="20"/>
          <w:lang w:val="bs-Cyrl-BA"/>
        </w:rPr>
        <w:t>namenjena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celosti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delimično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delove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komponente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vojnih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proizvoda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navedeni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Nacionalnoj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kontrolnoj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naoružanja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opreme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izvoze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teritorije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Crne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Gore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dozvole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propisane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ovim</w:t>
      </w:r>
      <w:r w:rsidRPr="0097616B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zakonom</w:t>
      </w:r>
      <w:r w:rsidRPr="0097616B">
        <w:rPr>
          <w:rFonts w:ascii="Arial" w:hAnsi="Arial" w:cs="Arial"/>
          <w:sz w:val="20"/>
          <w:szCs w:val="20"/>
          <w:lang w:val="bs-Cyrl-BA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Ukoliko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izvozniku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moglo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poznato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dvostruke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namerava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kontrolnoj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dvostruke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namenjena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upotrebiti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celosti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delimično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1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dužan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tome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obavesti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odlučiti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657122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Vlada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propiše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pribavljanja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dvostruke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namene</w:t>
      </w:r>
      <w:r w:rsidRPr="00657122">
        <w:rPr>
          <w:rFonts w:ascii="Arial" w:hAnsi="Arial" w:cs="Arial"/>
          <w:sz w:val="20"/>
          <w:szCs w:val="20"/>
          <w:lang w:val="sr-Cyrl-RS"/>
        </w:rPr>
        <w:t>,</w:t>
      </w:r>
      <w:r>
        <w:rPr>
          <w:rFonts w:ascii="Arial" w:hAnsi="Arial" w:cs="Arial"/>
          <w:sz w:val="20"/>
          <w:szCs w:val="20"/>
          <w:lang w:val="sr-Cyrl-RS"/>
        </w:rPr>
        <w:t xml:space="preserve"> koja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kontrolnoj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dvostruke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izvoznik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sumnja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namenjena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upotrebiti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celosti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delimično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bilo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1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657122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Kada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utvrdi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pribavljanja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slučajevima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. 1, 2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3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navedene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kontrolnoj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robe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dvostruke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obavestiti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Komisiju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Evropske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unije</w:t>
      </w:r>
      <w:r w:rsidRPr="00657122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Ministarstvo će obavestiti carinske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nadležne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organe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ukoliko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bude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obavešteno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usvajanju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ažuriranju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njihovih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smislu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stava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3 </w:t>
      </w:r>
      <w:r>
        <w:rPr>
          <w:rFonts w:ascii="Arial" w:hAnsi="Arial" w:cs="Arial"/>
          <w:sz w:val="20"/>
          <w:szCs w:val="20"/>
          <w:lang w:val="sr-Cyrl-RS"/>
        </w:rPr>
        <w:t>ovog</w:t>
      </w:r>
      <w:r w:rsidRPr="00657122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člana</w:t>
      </w:r>
      <w:r w:rsidRPr="00657122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brokerske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vrše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vezi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navedene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Nacionalnoj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kontrolnoj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 i naoružanja i vojne opreme koji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 nalaze u drugoj državi ili ekonomskoj teritoriji i za koje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sproveden postupak carinjenja uvoza, a koji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treba da se izvoze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treću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Dozvola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potrebna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brokerske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 i regulisana je članom 8. Zakona o spoljnoj trgovini  naoružanjem, vojnom opremom</w:t>
      </w:r>
      <w:r w:rsidRPr="00CC6928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robom dvostruke namene</w:t>
      </w:r>
      <w:r w:rsidRPr="0097616B">
        <w:rPr>
          <w:rFonts w:ascii="Arial" w:hAnsi="Arial" w:cs="Arial"/>
          <w:sz w:val="20"/>
          <w:szCs w:val="20"/>
          <w:lang w:val="sr-Cyrl-RS"/>
        </w:rPr>
        <w:t>: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 xml:space="preserve">-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vezi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dvostruke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navedena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posebnom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Nacionalne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liste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dvostruke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ili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 w:rsidRPr="00657122">
        <w:rPr>
          <w:rFonts w:ascii="Arial" w:hAnsi="Arial" w:cs="Arial"/>
          <w:sz w:val="20"/>
          <w:szCs w:val="20"/>
          <w:lang w:val="bs-Cyrl-BA"/>
        </w:rPr>
        <w:t xml:space="preserve">- </w:t>
      </w:r>
      <w:r>
        <w:rPr>
          <w:rFonts w:ascii="Arial" w:hAnsi="Arial" w:cs="Arial"/>
          <w:sz w:val="20"/>
          <w:szCs w:val="20"/>
          <w:lang w:val="bs-Cyrl-BA"/>
        </w:rPr>
        <w:t>ako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brokera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obaveste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Crne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Gore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namenjena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upotrebiti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celosti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delimično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bilo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namena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člana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8</w:t>
      </w:r>
      <w:r>
        <w:rPr>
          <w:rFonts w:ascii="Arial" w:hAnsi="Arial" w:cs="Arial"/>
          <w:sz w:val="20"/>
          <w:szCs w:val="20"/>
          <w:lang w:val="bs-Cyrl-BA"/>
        </w:rPr>
        <w:t>.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stav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1</w:t>
      </w:r>
      <w:r>
        <w:rPr>
          <w:rFonts w:ascii="Arial" w:hAnsi="Arial" w:cs="Arial"/>
          <w:sz w:val="20"/>
          <w:szCs w:val="20"/>
          <w:lang w:val="bs-Cyrl-BA"/>
        </w:rPr>
        <w:t>.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ovog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zakona</w:t>
      </w:r>
      <w:r w:rsidRPr="00657122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Spoljnu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kontrolisanom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vrši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upisano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obavljanje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spoljne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trgovine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kontrolisanom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(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daljem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tekstu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: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>).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vodi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Upis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vrši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pisanog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zahteva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lica</w:t>
      </w:r>
      <w:r w:rsidRPr="00657122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Uz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zahtev podnosilac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dužan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dostavi</w:t>
      </w:r>
      <w:r w:rsidRPr="00657122">
        <w:rPr>
          <w:rFonts w:ascii="Arial" w:hAnsi="Arial" w:cs="Arial"/>
          <w:sz w:val="20"/>
          <w:szCs w:val="20"/>
          <w:lang w:val="bs-Cyrl-BA"/>
        </w:rPr>
        <w:t>: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1) Izvod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Centralnog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registra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Privrednog suda o registrovanoj delatnosti</w:t>
      </w:r>
      <w:r w:rsidRPr="00657122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2) Naziv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banke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čiji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deponent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potvrdu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banke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blokadi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poslednjih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šest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meseci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kopiju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kartona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deponovanih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potpisa</w:t>
      </w:r>
      <w:r w:rsidRPr="00657122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3) Dokaz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procesu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pokretanja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stečajnog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postupka</w:t>
      </w:r>
      <w:r w:rsidRPr="00657122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4) Uverenje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nema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neizmirenih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obaveza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plaćanja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carina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poreza</w:t>
      </w:r>
      <w:r w:rsidRPr="00657122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5) Podatke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broju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strukturi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zaposlenih</w:t>
      </w:r>
      <w:r w:rsidRPr="00657122">
        <w:rPr>
          <w:rFonts w:ascii="Arial" w:hAnsi="Arial" w:cs="Arial"/>
          <w:sz w:val="20"/>
          <w:szCs w:val="20"/>
          <w:lang w:val="bs-Cyrl-BA"/>
        </w:rPr>
        <w:t>;</w:t>
      </w:r>
    </w:p>
    <w:p w:rsidR="001015E3" w:rsidRPr="00657122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6) Izjavu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obavezuje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će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nadležnim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organima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omogućiti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pomoći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nadzoru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poslovanjem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oblasti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prometa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kontrolisane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robe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kontroli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smeštajnog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prostora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prevoznih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sredstava</w:t>
      </w:r>
      <w:r w:rsidRPr="00657122">
        <w:rPr>
          <w:rFonts w:ascii="Arial" w:hAnsi="Arial" w:cs="Arial"/>
          <w:sz w:val="20"/>
          <w:szCs w:val="20"/>
          <w:lang w:val="bs-Cyrl-BA"/>
        </w:rPr>
        <w:t>,</w:t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7) Pisanu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saglasnost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prihvatanju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bezbednosne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provere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. </w:t>
      </w:r>
    </w:p>
    <w:p w:rsidR="001015E3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službenoj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dužnosti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pribavlja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dokaz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nadležnog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organa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podnosilac zahteva nije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osuđivan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protiv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njega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pokrenut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postupak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krivična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protiv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ustavnog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uređenja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bezbednosti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Crne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Gore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protiv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čovečnosti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dobara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zaštićenih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međunarodnim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protiv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života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tela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imovine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krivična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dela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elementima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nasilja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koristoljublja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niskih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pobuda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donosi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rešenje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Rešenje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važi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pet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godina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Lice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upisano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dužno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pisanim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putem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dostavi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promene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podataka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osnovu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kojih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upisano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roku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15 </w:t>
      </w:r>
      <w:r>
        <w:rPr>
          <w:rFonts w:ascii="Arial" w:hAnsi="Arial" w:cs="Arial"/>
          <w:sz w:val="20"/>
          <w:szCs w:val="20"/>
          <w:lang w:val="bs-Cyrl-BA"/>
        </w:rPr>
        <w:t>dana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dana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nastanka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promene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će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rešenjem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odbiti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zahtev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upis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Registar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ako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podnosilac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zahteva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ispunjava propisane uslove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Obrazac zahteva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obrazac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način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vođenja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Registra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propisuje</w:t>
      </w:r>
      <w:r w:rsidRPr="00657122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657122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Pr="00BD675B" w:rsidRDefault="001015E3" w:rsidP="001015E3">
      <w:pPr>
        <w:pStyle w:val="Heading1"/>
        <w:rPr>
          <w:lang w:val="bs-Cyrl-BA"/>
        </w:rPr>
      </w:pPr>
      <w:bookmarkStart w:id="6" w:name="_Toc400543696"/>
      <w:r>
        <w:rPr>
          <w:lang w:val="bs-Cyrl-BA"/>
        </w:rPr>
        <w:lastRenderedPageBreak/>
        <w:t>Pravna</w:t>
      </w:r>
      <w:r w:rsidRPr="00BD675B">
        <w:rPr>
          <w:lang w:val="bs-Cyrl-BA"/>
        </w:rPr>
        <w:t xml:space="preserve"> </w:t>
      </w:r>
      <w:r>
        <w:rPr>
          <w:lang w:val="bs-Cyrl-BA"/>
        </w:rPr>
        <w:t>regulativa</w:t>
      </w:r>
      <w:r w:rsidRPr="00BD675B">
        <w:rPr>
          <w:lang w:val="bs-Cyrl-BA"/>
        </w:rPr>
        <w:t xml:space="preserve"> </w:t>
      </w:r>
      <w:r>
        <w:rPr>
          <w:lang w:val="bs-Cyrl-BA"/>
        </w:rPr>
        <w:t>u</w:t>
      </w:r>
      <w:r w:rsidRPr="00BD675B">
        <w:rPr>
          <w:lang w:val="bs-Cyrl-BA"/>
        </w:rPr>
        <w:t xml:space="preserve"> </w:t>
      </w:r>
      <w:r>
        <w:rPr>
          <w:lang w:val="bs-Cyrl-BA"/>
        </w:rPr>
        <w:t>vezi</w:t>
      </w:r>
      <w:r w:rsidRPr="00BD675B">
        <w:rPr>
          <w:lang w:val="bs-Cyrl-BA"/>
        </w:rPr>
        <w:t xml:space="preserve"> </w:t>
      </w:r>
      <w:r>
        <w:rPr>
          <w:lang w:val="bs-Cyrl-BA"/>
        </w:rPr>
        <w:t>s</w:t>
      </w:r>
      <w:r w:rsidRPr="00BD675B">
        <w:rPr>
          <w:lang w:val="bs-Cyrl-BA"/>
        </w:rPr>
        <w:t xml:space="preserve"> </w:t>
      </w:r>
      <w:r>
        <w:rPr>
          <w:lang w:val="bs-Cyrl-BA"/>
        </w:rPr>
        <w:t>spoljnotrgovinskim</w:t>
      </w:r>
      <w:r w:rsidRPr="00BD675B">
        <w:rPr>
          <w:lang w:val="bs-Cyrl-BA"/>
        </w:rPr>
        <w:t xml:space="preserve"> </w:t>
      </w:r>
      <w:r>
        <w:rPr>
          <w:lang w:val="sr-Cyrl-RS"/>
        </w:rPr>
        <w:t>prometom</w:t>
      </w:r>
      <w:r w:rsidRPr="00BD675B">
        <w:rPr>
          <w:lang w:val="sr-Cyrl-RS"/>
        </w:rPr>
        <w:t xml:space="preserve"> </w:t>
      </w:r>
      <w:r>
        <w:rPr>
          <w:lang w:val="sr-Cyrl-RS"/>
        </w:rPr>
        <w:t>naoružanja</w:t>
      </w:r>
      <w:r w:rsidRPr="00BD675B">
        <w:rPr>
          <w:lang w:val="sr-Cyrl-RS"/>
        </w:rPr>
        <w:t xml:space="preserve"> </w:t>
      </w:r>
      <w:r>
        <w:rPr>
          <w:lang w:val="sr-Cyrl-RS"/>
        </w:rPr>
        <w:t>i</w:t>
      </w:r>
      <w:r w:rsidRPr="00BD675B">
        <w:rPr>
          <w:lang w:val="sr-Cyrl-RS"/>
        </w:rPr>
        <w:t xml:space="preserve"> </w:t>
      </w:r>
      <w:r>
        <w:rPr>
          <w:lang w:val="sr-Cyrl-RS"/>
        </w:rPr>
        <w:t>vojne</w:t>
      </w:r>
      <w:r w:rsidRPr="00BD675B">
        <w:rPr>
          <w:lang w:val="sr-Cyrl-RS"/>
        </w:rPr>
        <w:t xml:space="preserve"> </w:t>
      </w:r>
      <w:r>
        <w:rPr>
          <w:lang w:val="sr-Cyrl-RS"/>
        </w:rPr>
        <w:t>opreme</w:t>
      </w:r>
      <w:r w:rsidRPr="00BD675B">
        <w:rPr>
          <w:lang w:val="bs-Cyrl-BA"/>
        </w:rPr>
        <w:t xml:space="preserve"> </w:t>
      </w:r>
      <w:r>
        <w:rPr>
          <w:lang w:val="bs-Cyrl-BA"/>
        </w:rPr>
        <w:t>u</w:t>
      </w:r>
      <w:r w:rsidRPr="00BD675B">
        <w:rPr>
          <w:lang w:val="bs-Cyrl-BA"/>
        </w:rPr>
        <w:t xml:space="preserve"> </w:t>
      </w:r>
      <w:r>
        <w:rPr>
          <w:lang w:val="bs-Cyrl-BA"/>
        </w:rPr>
        <w:t>Belgiji</w:t>
      </w:r>
      <w:r w:rsidRPr="00BD675B">
        <w:rPr>
          <w:lang w:val="bs-Cyrl-BA"/>
        </w:rPr>
        <w:t xml:space="preserve">, </w:t>
      </w:r>
      <w:r>
        <w:rPr>
          <w:lang w:val="bs-Cyrl-BA"/>
        </w:rPr>
        <w:t>Italiji</w:t>
      </w:r>
      <w:r w:rsidRPr="00BD675B">
        <w:rPr>
          <w:lang w:val="bs-Cyrl-BA"/>
        </w:rPr>
        <w:t xml:space="preserve"> </w:t>
      </w:r>
      <w:r>
        <w:rPr>
          <w:lang w:val="bs-Cyrl-BA"/>
        </w:rPr>
        <w:t>i</w:t>
      </w:r>
      <w:r w:rsidRPr="00BD675B">
        <w:rPr>
          <w:lang w:val="bs-Cyrl-BA"/>
        </w:rPr>
        <w:t xml:space="preserve"> </w:t>
      </w:r>
      <w:r>
        <w:rPr>
          <w:lang w:val="bs-Cyrl-BA"/>
        </w:rPr>
        <w:t>Finskoj</w:t>
      </w:r>
      <w:bookmarkEnd w:id="6"/>
      <w:r w:rsidRPr="00BD675B">
        <w:rPr>
          <w:lang w:val="bs-Cyrl-BA"/>
        </w:rPr>
        <w:t xml:space="preserve"> </w:t>
      </w:r>
    </w:p>
    <w:p w:rsidR="001015E3" w:rsidRPr="00442E47" w:rsidRDefault="001015E3" w:rsidP="001015E3">
      <w:pPr>
        <w:pStyle w:val="Heading2"/>
        <w:rPr>
          <w:lang w:val="sr-Cyrl-RS"/>
        </w:rPr>
      </w:pPr>
      <w:bookmarkStart w:id="7" w:name="_Toc400543697"/>
      <w:r>
        <w:rPr>
          <w:lang w:val="sr-Cyrl-RS"/>
        </w:rPr>
        <w:t>Belgija</w:t>
      </w:r>
      <w:bookmarkEnd w:id="7"/>
    </w:p>
    <w:p w:rsidR="001015E3" w:rsidRPr="00442E47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Zakon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 uvozu, izvozu, tranzitu 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sprečavanju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protivpravn</w:t>
      </w:r>
      <w:r w:rsidRPr="00794213">
        <w:rPr>
          <w:rFonts w:ascii="Arial" w:hAnsi="Arial" w:cs="Arial"/>
          <w:sz w:val="20"/>
          <w:szCs w:val="20"/>
        </w:rPr>
        <w:t>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oružjem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municijom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5. </w:t>
      </w:r>
      <w:r>
        <w:rPr>
          <w:rFonts w:ascii="Arial" w:hAnsi="Arial" w:cs="Arial"/>
          <w:sz w:val="20"/>
          <w:szCs w:val="20"/>
          <w:lang w:val="sr-Cyrl-RS"/>
        </w:rPr>
        <w:t>avgusta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1991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koristan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održavanje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uz to se odnosi na  tehnologije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predstavljaju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 naoružanja i vojne opreme 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belgijskom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zakonodavstvu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Ovaj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prvobitno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objavljen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015E3">
        <w:rPr>
          <w:rFonts w:ascii="Arial" w:hAnsi="Arial" w:cs="Arial"/>
          <w:sz w:val="20"/>
          <w:szCs w:val="20"/>
          <w:lang w:val="fr-BE"/>
        </w:rPr>
        <w:t>Moniteur</w:t>
      </w:r>
      <w:r w:rsidRPr="00DF1A53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015E3">
        <w:rPr>
          <w:rFonts w:ascii="Arial" w:hAnsi="Arial" w:cs="Arial"/>
          <w:sz w:val="20"/>
          <w:szCs w:val="20"/>
          <w:lang w:val="fr-BE"/>
        </w:rPr>
        <w:t>Belge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10. </w:t>
      </w:r>
      <w:r>
        <w:rPr>
          <w:rFonts w:ascii="Arial" w:hAnsi="Arial" w:cs="Arial"/>
          <w:sz w:val="20"/>
          <w:szCs w:val="20"/>
          <w:lang w:val="sr-Cyrl-RS"/>
        </w:rPr>
        <w:t>septembra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1991.</w:t>
      </w:r>
      <w:r>
        <w:rPr>
          <w:rFonts w:ascii="Arial" w:hAnsi="Arial" w:cs="Arial"/>
          <w:sz w:val="20"/>
          <w:szCs w:val="20"/>
          <w:lang w:val="sr-Cyrl-RS"/>
        </w:rPr>
        <w:t xml:space="preserve"> Zakoni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25. </w:t>
      </w:r>
      <w:r>
        <w:rPr>
          <w:rFonts w:ascii="Arial" w:hAnsi="Arial" w:cs="Arial"/>
          <w:sz w:val="20"/>
          <w:szCs w:val="20"/>
          <w:lang w:val="sr-Cyrl-RS"/>
        </w:rPr>
        <w:t>marta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2003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26. </w:t>
      </w:r>
      <w:r>
        <w:rPr>
          <w:rFonts w:ascii="Arial" w:hAnsi="Arial" w:cs="Arial"/>
          <w:sz w:val="20"/>
          <w:szCs w:val="20"/>
          <w:lang w:val="sr-Cyrl-RS"/>
        </w:rPr>
        <w:t>marta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2003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modifikovali su  ovaj zakon. Najvažnije izvršne mere sadržane su 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Kraljevskom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ukazu od 8. marta 1993, Kraljevskom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dekretu 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2. </w:t>
      </w:r>
      <w:r>
        <w:rPr>
          <w:rFonts w:ascii="Arial" w:hAnsi="Arial" w:cs="Arial"/>
          <w:sz w:val="20"/>
          <w:szCs w:val="20"/>
          <w:lang w:val="sr-Cyrl-RS"/>
        </w:rPr>
        <w:t>aprila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2003</w:t>
      </w:r>
      <w:r>
        <w:rPr>
          <w:rFonts w:ascii="Arial" w:hAnsi="Arial" w:cs="Arial"/>
          <w:sz w:val="20"/>
          <w:szCs w:val="20"/>
          <w:lang w:val="sr-Cyrl-RS"/>
        </w:rPr>
        <w:t>. i Kraljevskom ukazu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16. </w:t>
      </w:r>
      <w:r>
        <w:rPr>
          <w:rFonts w:ascii="Arial" w:hAnsi="Arial" w:cs="Arial"/>
          <w:sz w:val="20"/>
          <w:szCs w:val="20"/>
          <w:lang w:val="sr-Cyrl-RS"/>
        </w:rPr>
        <w:t>maja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2003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tekstovi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osim Kraljevskog ukaza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8. </w:t>
      </w:r>
      <w:r>
        <w:rPr>
          <w:rFonts w:ascii="Arial" w:hAnsi="Arial" w:cs="Arial"/>
          <w:sz w:val="20"/>
          <w:szCs w:val="20"/>
          <w:lang w:val="sr-Cyrl-RS"/>
        </w:rPr>
        <w:t>marta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199</w:t>
      </w:r>
      <w:r>
        <w:rPr>
          <w:rFonts w:ascii="Arial" w:hAnsi="Arial" w:cs="Arial"/>
          <w:sz w:val="20"/>
          <w:szCs w:val="20"/>
          <w:lang w:val="sr-Cyrl-RS"/>
        </w:rPr>
        <w:t>3), zajedno sa aneksom Kraljevskog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dekreta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2. </w:t>
      </w:r>
      <w:r>
        <w:rPr>
          <w:rFonts w:ascii="Arial" w:hAnsi="Arial" w:cs="Arial"/>
          <w:sz w:val="20"/>
          <w:szCs w:val="20"/>
          <w:lang w:val="sr-Cyrl-RS"/>
        </w:rPr>
        <w:t>aprila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2003, </w:t>
      </w:r>
      <w:r>
        <w:rPr>
          <w:rFonts w:ascii="Arial" w:hAnsi="Arial" w:cs="Arial"/>
          <w:sz w:val="20"/>
          <w:szCs w:val="20"/>
          <w:lang w:val="sr-Cyrl-RS"/>
        </w:rPr>
        <w:t>objavljeni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94213">
        <w:rPr>
          <w:rFonts w:ascii="Arial" w:hAnsi="Arial" w:cs="Arial"/>
          <w:sz w:val="20"/>
          <w:szCs w:val="20"/>
        </w:rPr>
        <w:t>Moniteur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94213">
        <w:rPr>
          <w:rFonts w:ascii="Arial" w:hAnsi="Arial" w:cs="Arial"/>
          <w:sz w:val="20"/>
          <w:szCs w:val="20"/>
        </w:rPr>
        <w:t>Belge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7. </w:t>
      </w:r>
      <w:r>
        <w:rPr>
          <w:rFonts w:ascii="Arial" w:hAnsi="Arial" w:cs="Arial"/>
          <w:sz w:val="20"/>
          <w:szCs w:val="20"/>
          <w:lang w:val="sr-Cyrl-RS"/>
        </w:rPr>
        <w:t>jula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2003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str</w:t>
      </w:r>
      <w:r w:rsidRPr="00442E47">
        <w:rPr>
          <w:rFonts w:ascii="Arial" w:hAnsi="Arial" w:cs="Arial"/>
          <w:sz w:val="20"/>
          <w:szCs w:val="20"/>
          <w:lang w:val="sr-Cyrl-RS"/>
        </w:rPr>
        <w:t>. 36095-36121)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Kraljevski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dekret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od 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8. </w:t>
      </w:r>
      <w:r>
        <w:rPr>
          <w:rFonts w:ascii="Arial" w:hAnsi="Arial" w:cs="Arial"/>
          <w:sz w:val="20"/>
          <w:szCs w:val="20"/>
          <w:lang w:val="sr-Cyrl-RS"/>
        </w:rPr>
        <w:t>marta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1993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objavljen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794213">
        <w:rPr>
          <w:rFonts w:ascii="Arial" w:hAnsi="Arial" w:cs="Arial"/>
          <w:sz w:val="20"/>
          <w:szCs w:val="20"/>
        </w:rPr>
        <w:t>Moniteur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</w:rPr>
        <w:t>B</w:t>
      </w:r>
      <w:r w:rsidRPr="00794213">
        <w:rPr>
          <w:rFonts w:ascii="Arial" w:hAnsi="Arial" w:cs="Arial"/>
          <w:sz w:val="20"/>
          <w:szCs w:val="20"/>
        </w:rPr>
        <w:t>elge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6. </w:t>
      </w:r>
      <w:r>
        <w:rPr>
          <w:rFonts w:ascii="Arial" w:hAnsi="Arial" w:cs="Arial"/>
          <w:sz w:val="20"/>
          <w:szCs w:val="20"/>
          <w:lang w:val="sr-Cyrl-RS"/>
        </w:rPr>
        <w:t>aprila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1993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ali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postoji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poseban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samo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42E47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C3DDE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zakonom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definicije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"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442E47">
        <w:rPr>
          <w:rFonts w:ascii="Arial" w:hAnsi="Arial" w:cs="Arial"/>
          <w:sz w:val="20"/>
          <w:szCs w:val="20"/>
          <w:lang w:val="sr-Cyrl-RS"/>
        </w:rPr>
        <w:t>", "</w:t>
      </w:r>
      <w:r>
        <w:rPr>
          <w:rFonts w:ascii="Arial" w:hAnsi="Arial" w:cs="Arial"/>
          <w:sz w:val="20"/>
          <w:szCs w:val="20"/>
          <w:lang w:val="sr-Cyrl-RS"/>
        </w:rPr>
        <w:t>izvoza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"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"</w:t>
      </w:r>
      <w:r>
        <w:rPr>
          <w:rFonts w:ascii="Arial" w:hAnsi="Arial" w:cs="Arial"/>
          <w:sz w:val="20"/>
          <w:szCs w:val="20"/>
          <w:lang w:val="sr-Cyrl-RS"/>
        </w:rPr>
        <w:t>tranzita" su one koje su propisane belgijskim  carinskim propisima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drugim aktima carinskih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službi</w:t>
      </w:r>
      <w:r w:rsidRPr="00442E47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Pojmovi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"</w:t>
      </w:r>
      <w:r>
        <w:rPr>
          <w:rFonts w:ascii="Arial" w:hAnsi="Arial" w:cs="Arial"/>
          <w:sz w:val="20"/>
          <w:szCs w:val="20"/>
          <w:lang w:val="sr-Cyrl-RS"/>
        </w:rPr>
        <w:t>oružje, municija i oprema za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vojnu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održavanje reda, kao i uz nju srodne tehnologije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"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definisani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precizirani na listi utvrđenoj Kraljevskim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dekretom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načinjenim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nakon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razmatranja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čini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aneks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Kraljevskom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dekretu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2. </w:t>
      </w:r>
      <w:r>
        <w:rPr>
          <w:rFonts w:ascii="Arial" w:hAnsi="Arial" w:cs="Arial"/>
          <w:sz w:val="20"/>
          <w:szCs w:val="20"/>
          <w:lang w:val="sr-Cyrl-RS"/>
        </w:rPr>
        <w:t>aprila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2003.</w:t>
      </w:r>
    </w:p>
    <w:p w:rsidR="001015E3" w:rsidRPr="009C3DDE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Osnovni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5. </w:t>
      </w:r>
      <w:r>
        <w:rPr>
          <w:rFonts w:ascii="Arial" w:hAnsi="Arial" w:cs="Arial"/>
          <w:sz w:val="20"/>
          <w:szCs w:val="20"/>
          <w:lang w:val="sr-Cyrl-RS"/>
        </w:rPr>
        <w:t>avgusta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1991</w:t>
      </w:r>
      <w:r>
        <w:rPr>
          <w:rFonts w:ascii="Arial" w:hAnsi="Arial" w:cs="Arial"/>
          <w:sz w:val="20"/>
          <w:szCs w:val="20"/>
          <w:lang w:val="sr-Cyrl-RS"/>
        </w:rPr>
        <w:t>.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dva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seta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: </w:t>
      </w:r>
      <w:r>
        <w:rPr>
          <w:rFonts w:ascii="Arial" w:hAnsi="Arial" w:cs="Arial"/>
          <w:sz w:val="20"/>
          <w:szCs w:val="20"/>
          <w:lang w:val="sr-Cyrl-RS"/>
        </w:rPr>
        <w:t>pravila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regulišu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borbu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protiv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nezakonite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Ovaj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sadrži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štaviše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nekoliko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opštih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pravila</w:t>
      </w:r>
      <w:r w:rsidRPr="009C3DDE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C3DDE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Kraljevski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dekret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nakon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razmatranja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utvrđuje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listu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municije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zabranjen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Sistem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licenci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 oružje, municiju i vojnu opremu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kojoj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dozvoljava uvoz, izvoz i tranzit</w:t>
      </w:r>
      <w:r w:rsidRPr="009C3DDE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Zakon utvrđuje kojoj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odbijeni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primer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zemljama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kojima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krše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ljudska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prava</w:t>
      </w:r>
      <w:r w:rsidRPr="009C3DDE">
        <w:rPr>
          <w:rFonts w:ascii="Arial" w:hAnsi="Arial" w:cs="Arial"/>
          <w:sz w:val="20"/>
          <w:szCs w:val="20"/>
          <w:lang w:val="sr-Cyrl-RS"/>
        </w:rPr>
        <w:t>).</w:t>
      </w:r>
      <w:r>
        <w:rPr>
          <w:rFonts w:ascii="Arial" w:hAnsi="Arial" w:cs="Arial"/>
          <w:sz w:val="20"/>
          <w:szCs w:val="20"/>
          <w:lang w:val="sr-Cyrl-RS"/>
        </w:rPr>
        <w:t xml:space="preserve"> Vlada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 pravo u posebnim okolnostima da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obustavi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valjanost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izdatih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čak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povuče</w:t>
      </w:r>
      <w:r w:rsidRPr="009C3DDE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Povrede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ovih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pravila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sankcionisane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aktuelnim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propisima</w:t>
      </w:r>
      <w:r w:rsidRPr="009C3DDE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Maksimalna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zatvora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međutim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ograničen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5 </w:t>
      </w:r>
      <w:r>
        <w:rPr>
          <w:rFonts w:ascii="Arial" w:hAnsi="Arial" w:cs="Arial"/>
          <w:sz w:val="20"/>
          <w:szCs w:val="20"/>
          <w:lang w:val="sr-Cyrl-RS"/>
        </w:rPr>
        <w:t>godina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novčana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kazna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1 </w:t>
      </w:r>
      <w:r>
        <w:rPr>
          <w:rFonts w:ascii="Arial" w:hAnsi="Arial" w:cs="Arial"/>
          <w:sz w:val="20"/>
          <w:szCs w:val="20"/>
          <w:lang w:val="sr-Cyrl-RS"/>
        </w:rPr>
        <w:t>milion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belgijskih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franaka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(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25.000 </w:t>
      </w:r>
      <w:r>
        <w:rPr>
          <w:rFonts w:ascii="Arial" w:hAnsi="Arial" w:cs="Arial"/>
          <w:sz w:val="20"/>
          <w:szCs w:val="20"/>
          <w:lang w:val="sr-Cyrl-RS"/>
        </w:rPr>
        <w:t>evra</w:t>
      </w:r>
      <w:r w:rsidRPr="009C3DDE">
        <w:rPr>
          <w:rFonts w:ascii="Arial" w:hAnsi="Arial" w:cs="Arial"/>
          <w:sz w:val="20"/>
          <w:szCs w:val="20"/>
          <w:lang w:val="sr-Cyrl-RS"/>
        </w:rPr>
        <w:t>).</w:t>
      </w:r>
      <w:r>
        <w:rPr>
          <w:rFonts w:ascii="Arial" w:hAnsi="Arial" w:cs="Arial"/>
          <w:sz w:val="20"/>
          <w:szCs w:val="20"/>
          <w:lang w:val="sr-Cyrl-RS"/>
        </w:rPr>
        <w:t xml:space="preserve"> Davanje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licence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odbije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oblik</w:t>
      </w:r>
      <w:r w:rsidRPr="009C3D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sankcije</w:t>
      </w:r>
      <w:r w:rsidRPr="009C3DDE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C3DDE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Finansijsko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osiguranje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institucije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biti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uključeno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samo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uvozne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transakcije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pod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uslovom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firma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uvoznik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dobije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važeću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licencu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Svaka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osoba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legalno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uvozi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opremu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bilo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</w:t>
      </w:r>
      <w:r>
        <w:rPr>
          <w:rFonts w:ascii="Arial" w:hAnsi="Arial" w:cs="Arial"/>
          <w:sz w:val="20"/>
          <w:szCs w:val="20"/>
          <w:lang w:val="sr-Cyrl-RS"/>
        </w:rPr>
        <w:t xml:space="preserve"> u njenom okruženju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dužan</w:t>
      </w:r>
      <w:r>
        <w:rPr>
          <w:rFonts w:ascii="Arial" w:hAnsi="Arial" w:cs="Arial"/>
          <w:sz w:val="20"/>
          <w:szCs w:val="20"/>
          <w:lang w:val="sr-Cyrl-RS"/>
        </w:rPr>
        <w:t>a 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obavesti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vlasti</w:t>
      </w:r>
      <w:r>
        <w:rPr>
          <w:rFonts w:ascii="Arial" w:hAnsi="Arial" w:cs="Arial"/>
          <w:sz w:val="20"/>
          <w:szCs w:val="20"/>
          <w:lang w:val="sr-Cyrl-RS"/>
        </w:rPr>
        <w:t>,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većini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slučajeva na njihov zahtev, i da im omogući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uvid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svaki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dokument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za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oni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misle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neophodno</w:t>
      </w:r>
      <w:r w:rsidRPr="009C3DDE">
        <w:rPr>
          <w:rFonts w:ascii="Arial" w:hAnsi="Arial" w:cs="Arial"/>
          <w:sz w:val="20"/>
          <w:szCs w:val="20"/>
          <w:lang w:val="bs-Cyrl-BA"/>
        </w:rPr>
        <w:t>.</w:t>
      </w:r>
      <w:r>
        <w:rPr>
          <w:rFonts w:ascii="Arial" w:hAnsi="Arial" w:cs="Arial"/>
          <w:sz w:val="20"/>
          <w:szCs w:val="20"/>
          <w:lang w:val="bs-Cyrl-BA"/>
        </w:rPr>
        <w:t xml:space="preserve"> Vlada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dostavlja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jednom godišnje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izveštaj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Saveznom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parlamentu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primeni ovog zakona, a koji sadrži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informacije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podacima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belgijskog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uvoza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. </w:t>
      </w:r>
    </w:p>
    <w:p w:rsidR="001015E3" w:rsidRPr="009C3DDE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Aneks</w:t>
      </w:r>
      <w:r>
        <w:rPr>
          <w:rFonts w:ascii="Arial" w:hAnsi="Arial" w:cs="Arial"/>
          <w:sz w:val="20"/>
          <w:szCs w:val="20"/>
          <w:lang w:val="sr-Cyrl-RS"/>
        </w:rPr>
        <w:t>om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Kraljevsk</w:t>
      </w:r>
      <w:r>
        <w:rPr>
          <w:rFonts w:ascii="Arial" w:hAnsi="Arial" w:cs="Arial"/>
          <w:sz w:val="20"/>
          <w:szCs w:val="20"/>
          <w:lang w:val="sr-Cyrl-RS"/>
        </w:rPr>
        <w:t>og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ukaz</w:t>
      </w:r>
      <w:r>
        <w:rPr>
          <w:rFonts w:ascii="Arial" w:hAnsi="Arial" w:cs="Arial"/>
          <w:sz w:val="20"/>
          <w:szCs w:val="20"/>
          <w:lang w:val="sr-Cyrl-RS"/>
        </w:rPr>
        <w:t>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2. </w:t>
      </w:r>
      <w:r>
        <w:rPr>
          <w:rFonts w:ascii="Arial" w:hAnsi="Arial" w:cs="Arial"/>
          <w:sz w:val="20"/>
          <w:szCs w:val="20"/>
          <w:lang w:val="bs-Cyrl-BA"/>
        </w:rPr>
        <w:t>aprila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2003</w:t>
      </w:r>
      <w:r>
        <w:rPr>
          <w:rFonts w:ascii="Arial" w:hAnsi="Arial" w:cs="Arial"/>
          <w:sz w:val="20"/>
          <w:szCs w:val="20"/>
          <w:lang w:val="bs-Cyrl-BA"/>
        </w:rPr>
        <w:t>.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utvrđeno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šta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treba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shvati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municija i oprema, posebno korisni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upotrebu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javno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održavanje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reda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tehnologije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njima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vezi</w:t>
      </w:r>
      <w:r w:rsidRPr="009C3DDE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Pr="00793AC8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lastRenderedPageBreak/>
        <w:t>Kraljevskim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ukazom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16. </w:t>
      </w:r>
      <w:r>
        <w:rPr>
          <w:rFonts w:ascii="Arial" w:hAnsi="Arial" w:cs="Arial"/>
          <w:sz w:val="20"/>
          <w:szCs w:val="20"/>
          <w:lang w:val="bs-Cyrl-BA"/>
        </w:rPr>
        <w:t>maja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2003</w:t>
      </w:r>
      <w:r>
        <w:rPr>
          <w:rFonts w:ascii="Arial" w:hAnsi="Arial" w:cs="Arial"/>
          <w:sz w:val="20"/>
          <w:szCs w:val="20"/>
          <w:lang w:val="bs-Cyrl-BA"/>
        </w:rPr>
        <w:t>.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reguliše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davanje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dozvole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trgovanje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oružjem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municijom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opremom, posebno korisne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upotrebu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javno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održavanje reda, kao i tehnologija sa njima u vezi. On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detaljno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opisuje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postupak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dobijanje licence. Kriterijumi EU kodeksa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ponašanja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odnosi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izvoz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moraju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poštuju</w:t>
      </w:r>
      <w:r w:rsidRPr="009C3DDE">
        <w:rPr>
          <w:rFonts w:ascii="Arial" w:hAnsi="Arial" w:cs="Arial"/>
          <w:sz w:val="20"/>
          <w:szCs w:val="20"/>
          <w:lang w:val="bs-Cyrl-BA"/>
        </w:rPr>
        <w:t>.</w:t>
      </w:r>
      <w:r>
        <w:rPr>
          <w:rFonts w:ascii="Arial" w:hAnsi="Arial" w:cs="Arial"/>
          <w:sz w:val="20"/>
          <w:szCs w:val="20"/>
          <w:lang w:val="bs-Cyrl-BA"/>
        </w:rPr>
        <w:t xml:space="preserve"> Savezno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ministarstvo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ekonomske poslove shodno tome izdaje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licence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potrebne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uvoz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vojne</w:t>
      </w:r>
      <w:r w:rsidRPr="009C3D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opreme i naoružanja za belgijske oružane snage</w:t>
      </w:r>
      <w:r w:rsidRPr="009C3DDE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Pr="008D36DE" w:rsidRDefault="001015E3" w:rsidP="001015E3">
      <w:pPr>
        <w:pStyle w:val="Heading2"/>
        <w:rPr>
          <w:lang w:val="sr-Cyrl-RS"/>
        </w:rPr>
      </w:pPr>
      <w:bookmarkStart w:id="8" w:name="_Toc400543698"/>
      <w:r>
        <w:rPr>
          <w:lang w:val="sr-Cyrl-RS"/>
        </w:rPr>
        <w:t>Italija</w:t>
      </w:r>
      <w:bookmarkEnd w:id="8"/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Kontrola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uvozom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oružja i  materijala regulisana je Zakonom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br. </w:t>
      </w:r>
      <w:r w:rsidRPr="0097616B">
        <w:rPr>
          <w:rFonts w:ascii="Arial" w:hAnsi="Arial" w:cs="Arial"/>
          <w:sz w:val="20"/>
          <w:szCs w:val="20"/>
          <w:lang w:val="sr-Cyrl-RS"/>
        </w:rPr>
        <w:t>185/19</w:t>
      </w:r>
      <w:r>
        <w:rPr>
          <w:rFonts w:ascii="Arial" w:hAnsi="Arial" w:cs="Arial"/>
          <w:sz w:val="20"/>
          <w:szCs w:val="20"/>
          <w:lang w:val="sr-Cyrl-RS"/>
        </w:rPr>
        <w:t>90 (nedavno izmenjenim Zakonom br.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148/2003, </w:t>
      </w:r>
      <w:r>
        <w:rPr>
          <w:rFonts w:ascii="Arial" w:hAnsi="Arial" w:cs="Arial"/>
          <w:sz w:val="20"/>
          <w:szCs w:val="20"/>
          <w:lang w:val="sr-Cyrl-RS"/>
        </w:rPr>
        <w:t>zatim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ratifikovanjem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27. </w:t>
      </w:r>
      <w:r>
        <w:rPr>
          <w:rFonts w:ascii="Arial" w:hAnsi="Arial" w:cs="Arial"/>
          <w:sz w:val="20"/>
          <w:szCs w:val="20"/>
          <w:lang w:val="sr-Cyrl-RS"/>
        </w:rPr>
        <w:t>jula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2000. </w:t>
      </w:r>
      <w:r>
        <w:rPr>
          <w:rFonts w:ascii="Arial" w:hAnsi="Arial" w:cs="Arial"/>
          <w:sz w:val="20"/>
          <w:szCs w:val="20"/>
          <w:lang w:val="sr-Cyrl-RS"/>
        </w:rPr>
        <w:t>između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Francuske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Nemačke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Italije, Španije, Švedske i Velike Britanije o restrukturiranju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 xml:space="preserve"> evropske odbrambene industrije</w:t>
      </w:r>
      <w:r w:rsidRPr="0097616B">
        <w:rPr>
          <w:rFonts w:ascii="Arial" w:hAnsi="Arial" w:cs="Arial"/>
          <w:sz w:val="20"/>
          <w:szCs w:val="20"/>
          <w:lang w:val="sr-Cyrl-RS"/>
        </w:rPr>
        <w:t>)</w:t>
      </w:r>
      <w:r>
        <w:rPr>
          <w:rFonts w:ascii="Arial" w:hAnsi="Arial" w:cs="Arial"/>
          <w:sz w:val="20"/>
          <w:szCs w:val="20"/>
          <w:lang w:val="sr-Cyrl-RS"/>
        </w:rPr>
        <w:t>. Ovaj zakon predviđa da dozvola za izvoz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 i vojne opreme mora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skladu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italijanskom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odbrambenom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politikom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podleže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odobrenju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kontroli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vlade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biološkog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hemijskog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nuklearnog oružja je zabranjen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Stalni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privremeni uvoz materijala za oružje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zabranjen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uz nekoliko izuzetaka, uključujući uvoz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direktno od strane vlade ili u njeno ime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naoružanje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opremu u vojne i policijske svrhe i uvoz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dobijanju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zakonskog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ovlašćenja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BD675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Stranke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registrovane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preduzeća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obaveste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ministra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ministra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početku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ugovornih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pregovora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Ministar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ministrom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odbrane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narediti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pregovori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budu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suspendovani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ograničiti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nametnuti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specijalne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uslove 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roku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60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prijema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obaveštenja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pregovora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između zemalja koje pripadaju NATO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 </w:t>
      </w:r>
      <w:r>
        <w:rPr>
          <w:rFonts w:ascii="Arial" w:hAnsi="Arial" w:cs="Arial"/>
          <w:sz w:val="20"/>
          <w:szCs w:val="20"/>
          <w:lang w:val="sr-Cyrl-RS"/>
        </w:rPr>
        <w:t>obaveštenje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dostavljeno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Ministarstvu odbrane koje u roku od 30 dana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nametne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ograničenja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materijala za oružje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odobrenje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dostavljen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Ministarstvu inostranih poslova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obavestiti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trgovine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Ovlašćenje za stalni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privremeni uvoz se izdaje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ministra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spoljnih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poslova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deluje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zajedno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ministrom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finansija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slučaju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odbijen,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razlozi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moraju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obrazloženi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Globalni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projekat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pokrenut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novi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oblik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posluju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oblasti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izvoza, uvoza ili tranzita naoružanja i materijala za naoružanje u okviru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međuvladine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saradnje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 osnovu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sporazuma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industrijskim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istraživanjima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razvoju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proizvodnih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programa</w:t>
      </w:r>
      <w:r w:rsidRPr="00C32D7A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koje je Italija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zaključila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kompanijama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zemalja članica Evropska unija i NATO</w:t>
      </w:r>
      <w:r w:rsidRPr="0097616B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97616B" w:rsidRDefault="001015E3" w:rsidP="001015E3">
      <w:pPr>
        <w:pStyle w:val="Heading2"/>
        <w:rPr>
          <w:lang w:val="sr-Cyrl-RS"/>
        </w:rPr>
      </w:pPr>
      <w:bookmarkStart w:id="9" w:name="_Toc400543699"/>
      <w:r>
        <w:rPr>
          <w:lang w:val="bs-Cyrl-BA"/>
        </w:rPr>
        <w:t>F</w:t>
      </w:r>
      <w:r>
        <w:rPr>
          <w:lang w:val="sr-Cyrl-RS"/>
        </w:rPr>
        <w:t>inska</w:t>
      </w:r>
      <w:bookmarkEnd w:id="9"/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Termini u vezi s uvozom i izvozom naoružanja i vojne opreme su određeni na sledeći način: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 uvoz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označava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transport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osim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članica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EU;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- izvoz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prevoz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država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van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EU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zemalja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;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lastRenderedPageBreak/>
        <w:t>- tranzit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znači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prevoz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jedne  EU u drugu državu članicu.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Sledeće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aktivnosti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regulisane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posebnim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dozvolama: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1) Prenos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prenos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tranzit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komercijalne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svrhe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kao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sticanje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držanje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proizvodnju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komponente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vatrenog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municije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opasnih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projektila;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400836">
        <w:rPr>
          <w:rFonts w:ascii="Arial" w:hAnsi="Arial" w:cs="Arial"/>
          <w:sz w:val="20"/>
          <w:szCs w:val="20"/>
          <w:lang w:val="sr-Cyrl-RS"/>
        </w:rPr>
        <w:t xml:space="preserve">2) </w:t>
      </w:r>
      <w:r>
        <w:rPr>
          <w:rFonts w:ascii="Arial" w:hAnsi="Arial" w:cs="Arial"/>
          <w:sz w:val="20"/>
          <w:szCs w:val="20"/>
          <w:lang w:val="sr-Cyrl-RS"/>
        </w:rPr>
        <w:t>Remont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konverzija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vatrenog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komponenti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vatrenog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00836">
        <w:rPr>
          <w:rFonts w:ascii="Arial" w:hAnsi="Arial" w:cs="Arial"/>
          <w:sz w:val="20"/>
          <w:szCs w:val="20"/>
          <w:lang w:val="sr-Cyrl-RS"/>
        </w:rPr>
        <w:t>;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 xml:space="preserve">3) </w:t>
      </w:r>
      <w:r>
        <w:rPr>
          <w:rFonts w:ascii="Arial" w:hAnsi="Arial" w:cs="Arial"/>
          <w:sz w:val="20"/>
          <w:szCs w:val="20"/>
          <w:lang w:val="sr-Cyrl-RS"/>
        </w:rPr>
        <w:t>Korišćenje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strelištu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komercijalne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svrhe</w:t>
      </w:r>
      <w:r w:rsidRPr="0097616B">
        <w:rPr>
          <w:rFonts w:ascii="Arial" w:hAnsi="Arial" w:cs="Arial"/>
          <w:sz w:val="20"/>
          <w:szCs w:val="20"/>
          <w:lang w:val="sr-Cyrl-RS"/>
        </w:rPr>
        <w:t>;</w:t>
      </w:r>
    </w:p>
    <w:p w:rsidR="001015E3" w:rsidRPr="0097616B" w:rsidRDefault="001015E3" w:rsidP="001015E3">
      <w:pPr>
        <w:spacing w:line="360" w:lineRule="auto"/>
        <w:jc w:val="both"/>
        <w:rPr>
          <w:rFonts w:ascii="Arial" w:hAnsi="Arial" w:cs="Arial"/>
          <w:color w:val="C0504D" w:themeColor="accent2"/>
          <w:sz w:val="20"/>
          <w:szCs w:val="20"/>
          <w:lang w:val="sr-Cyrl-RS"/>
        </w:rPr>
      </w:pPr>
      <w:r w:rsidRPr="0097616B">
        <w:rPr>
          <w:rFonts w:ascii="Arial" w:hAnsi="Arial" w:cs="Arial"/>
          <w:sz w:val="20"/>
          <w:szCs w:val="20"/>
          <w:lang w:val="sr-Cyrl-RS"/>
        </w:rPr>
        <w:t xml:space="preserve">4) </w:t>
      </w:r>
      <w:r>
        <w:rPr>
          <w:rFonts w:ascii="Arial" w:hAnsi="Arial" w:cs="Arial"/>
          <w:sz w:val="20"/>
          <w:szCs w:val="20"/>
          <w:lang w:val="sr-Cyrl-RS"/>
        </w:rPr>
        <w:t>Obuka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upotrebu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vatrenog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komercijalne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svrhe</w:t>
      </w:r>
      <w:r w:rsidRPr="0097616B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bs-Cyrl-BA"/>
        </w:rPr>
        <w:t>Licenca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dozvola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aktivnosti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stava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1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odobriti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ako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postoji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prihvatljiv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razlog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davanje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licence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dozvole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odbiti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ako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nema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razloga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sumnja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zloupotrebu</w:t>
      </w:r>
      <w:r w:rsidRPr="00400836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dozvole</w:t>
      </w:r>
      <w:r w:rsidRPr="00400836">
        <w:rPr>
          <w:rFonts w:ascii="Arial" w:hAnsi="Arial" w:cs="Arial"/>
          <w:sz w:val="20"/>
          <w:szCs w:val="20"/>
          <w:lang w:val="bs-Cyrl-BA"/>
        </w:rPr>
        <w:t>.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oduzima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prenos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opasnih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projektila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Finskoj za komercijalne svrhe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Prethodna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 za transport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odobriti trgovcima vatrenog oružja koji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imaju  pravo da trguju vatrenim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oružjem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 posebno opasnim  projektilima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Davanje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prethodne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transport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neće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izazvati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opasnost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održavanje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javnog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bezbednosti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građana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Organ koji daje  prethodnu saglasnost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traži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naznači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krajnjeg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korisnika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sertifikata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. 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U Finskoj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Ministarstvo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donosi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oduzima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opasnih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projektila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komercijalne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svrhe. Nosilac komercijalne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dostavlja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Upravi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carina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potvrdu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kojoj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navodi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su vatreno oružje i  municija koji se uvoze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ispitani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kako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zaštitili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krajnji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korisnici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Ministarstvo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dozvole 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najviše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400836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Komercijalna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gasne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sprejeve isteći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trgovinska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rad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istekne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oduzeta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licenciranje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oduzeti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određeno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vreme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gasne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sprejeve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prema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obaveštenju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izdatom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strane vlasti u zemlji destinacije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postoje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prepreke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transfer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 tranzit, ili ako postoje spoljnopolitičke ili bezbednosne prepreke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tome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Licenca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takođe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biti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opozvana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uslovi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prenos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više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nisu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bezbedni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sr-Cyrl-RS"/>
        </w:rPr>
        <w:t>Organ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licenciranje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davanje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komercijalnih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saglasnosti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opozvati komercijalnu saglasnost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gasne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sprejeve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može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prouzrokuje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opasnost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održavanje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javnog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reda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bezbednosti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Odredbe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Zakona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opasnih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sredstava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odredbe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donete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osnovu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njega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će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poštovati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prenosu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izvozu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tranzitu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vatrenog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opasnih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projektila.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</w:p>
    <w:p w:rsidR="001015E3" w:rsidRPr="008D36DE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bs-Cyrl-BA"/>
        </w:rPr>
      </w:pPr>
      <w:r>
        <w:rPr>
          <w:rFonts w:ascii="Arial" w:hAnsi="Arial" w:cs="Arial"/>
          <w:sz w:val="20"/>
          <w:szCs w:val="20"/>
          <w:lang w:val="sr-Cyrl-RS"/>
        </w:rPr>
        <w:t>Uslov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svrha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transfera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uvoza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učestvovanje  u lovu ili streljačkom takmičenju koji se organizuju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Norveškoj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Švedskoj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Islandu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, </w:t>
      </w:r>
      <w:r>
        <w:rPr>
          <w:rFonts w:ascii="Arial" w:hAnsi="Arial" w:cs="Arial"/>
          <w:sz w:val="20"/>
          <w:szCs w:val="20"/>
          <w:lang w:val="sr-Cyrl-RS"/>
        </w:rPr>
        <w:t>Danskoj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Finskoj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Dozvola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daje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imaocu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prenese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sredstva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vrati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ih 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Švedsku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Dansku</w:t>
      </w:r>
      <w:r w:rsidRPr="00400836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Evropska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dozvola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vatreno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daje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imaocu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pravo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poseduje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vatreno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ili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komponente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prolazu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kroz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druge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zemlje</w:t>
      </w:r>
      <w:r w:rsidRPr="00400836">
        <w:rPr>
          <w:rFonts w:ascii="Arial" w:hAnsi="Arial" w:cs="Arial"/>
          <w:sz w:val="20"/>
          <w:szCs w:val="20"/>
          <w:lang w:val="sr-Cyrl-RS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Međutim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ona važi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period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najviše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pet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godina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datuma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kada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odobrena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. </w:t>
      </w:r>
    </w:p>
    <w:p w:rsidR="001015E3" w:rsidRPr="008D36DE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bs-Cyrl-BA"/>
        </w:rPr>
        <w:lastRenderedPageBreak/>
        <w:t>Vlasnik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evropske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dozvole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preneti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uvoziti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 Finsku oružje, vatreno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pogodno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upotrebu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strelja</w:t>
      </w:r>
      <w:r>
        <w:rPr>
          <w:rFonts w:ascii="Arial" w:hAnsi="Arial" w:cs="Arial"/>
          <w:sz w:val="20"/>
          <w:szCs w:val="20"/>
          <w:lang w:val="sr-Cyrl-RS"/>
        </w:rPr>
        <w:t>čkim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takmičenjima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kao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koja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pogodna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upotrebu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lovu.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Nosilac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vatrenog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treba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ima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posedu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pismeni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poziv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drugi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pouzdan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dokaz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navodeći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neophodno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premeštanje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ili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uvoz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kako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učestvovao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takmičenju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u lovu ili strljaštvu.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Privatna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dozvola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 </w:t>
      </w:r>
      <w:r>
        <w:rPr>
          <w:rFonts w:ascii="Arial" w:hAnsi="Arial" w:cs="Arial"/>
          <w:sz w:val="20"/>
          <w:szCs w:val="20"/>
          <w:lang w:val="bs-Cyrl-BA"/>
        </w:rPr>
        <w:t>može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odobriti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svakome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ko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ima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pravo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poseduje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vatreno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oružje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, </w:t>
      </w:r>
      <w:r>
        <w:rPr>
          <w:rFonts w:ascii="Arial" w:hAnsi="Arial" w:cs="Arial"/>
          <w:sz w:val="20"/>
          <w:szCs w:val="20"/>
          <w:lang w:val="bs-Cyrl-BA"/>
        </w:rPr>
        <w:t>oružje ili posebno opasni projektil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. </w:t>
      </w:r>
      <w:r>
        <w:rPr>
          <w:rFonts w:ascii="Arial" w:hAnsi="Arial" w:cs="Arial"/>
          <w:sz w:val="20"/>
          <w:szCs w:val="20"/>
          <w:lang w:val="bs-Cyrl-BA"/>
        </w:rPr>
        <w:t>Davanje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prethodne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saglasnosti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takođe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zahteva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prenos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nije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takav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da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se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njime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mogla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izazvati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opasnost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za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održavanje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javnog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reda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i</w:t>
      </w:r>
      <w:r w:rsidRPr="008D36DE">
        <w:rPr>
          <w:rFonts w:ascii="Arial" w:hAnsi="Arial" w:cs="Arial"/>
          <w:sz w:val="20"/>
          <w:szCs w:val="20"/>
          <w:lang w:val="bs-Cyrl-BA"/>
        </w:rPr>
        <w:t xml:space="preserve"> </w:t>
      </w:r>
      <w:r>
        <w:rPr>
          <w:rFonts w:ascii="Arial" w:hAnsi="Arial" w:cs="Arial"/>
          <w:sz w:val="20"/>
          <w:szCs w:val="20"/>
          <w:lang w:val="bs-Cyrl-BA"/>
        </w:rPr>
        <w:t>bezbednosti</w:t>
      </w:r>
      <w:r w:rsidRPr="008D36DE">
        <w:rPr>
          <w:rFonts w:ascii="Arial" w:hAnsi="Arial" w:cs="Arial"/>
          <w:sz w:val="20"/>
          <w:szCs w:val="20"/>
          <w:lang w:val="bs-Cyrl-BA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Međutim, ona se daje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maksimalni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period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jedne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godine</w:t>
      </w:r>
      <w:r w:rsidRPr="008D36DE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>Transfer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od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podleže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autorizaciji</w:t>
      </w:r>
      <w:r w:rsidRPr="008D36DE">
        <w:rPr>
          <w:rFonts w:ascii="Arial" w:hAnsi="Arial" w:cs="Arial"/>
          <w:sz w:val="20"/>
          <w:szCs w:val="20"/>
          <w:lang w:val="sr-Cyrl-RS"/>
        </w:rPr>
        <w:t>.</w:t>
      </w:r>
      <w:r>
        <w:rPr>
          <w:rFonts w:ascii="Arial" w:hAnsi="Arial" w:cs="Arial"/>
          <w:sz w:val="20"/>
          <w:szCs w:val="20"/>
          <w:lang w:val="sr-Cyrl-RS"/>
        </w:rPr>
        <w:t xml:space="preserve"> Osim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ako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nije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drugačije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predviđeno,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prenos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oružja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posebno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opasnih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projektila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iz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privatne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svrhe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zahteva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da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prenosilac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ima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Finskoj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 </w:t>
      </w:r>
      <w:r>
        <w:rPr>
          <w:rFonts w:ascii="Arial" w:hAnsi="Arial" w:cs="Arial"/>
          <w:sz w:val="20"/>
          <w:szCs w:val="20"/>
          <w:lang w:val="sr-Cyrl-RS"/>
        </w:rPr>
        <w:t>licencu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za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njihov</w:t>
      </w:r>
      <w:r w:rsidRPr="008D36DE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transfer</w:t>
      </w:r>
      <w:r w:rsidRPr="008D36DE">
        <w:rPr>
          <w:rFonts w:ascii="Arial" w:hAnsi="Arial" w:cs="Arial"/>
          <w:sz w:val="20"/>
          <w:szCs w:val="20"/>
          <w:lang w:val="sr-Cyrl-RS"/>
        </w:rPr>
        <w:t>.</w:t>
      </w:r>
    </w:p>
    <w:p w:rsidR="001015E3" w:rsidRPr="00364A8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</w:p>
    <w:p w:rsidR="001015E3" w:rsidRDefault="001015E3" w:rsidP="001015E3">
      <w:pPr>
        <w:spacing w:line="360" w:lineRule="auto"/>
        <w:jc w:val="both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  <w:r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Izvori</w:t>
      </w:r>
      <w:r w:rsidRPr="008D36DE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informacija</w:t>
      </w:r>
    </w:p>
    <w:p w:rsidR="001015E3" w:rsidRPr="00364A89" w:rsidRDefault="001015E3" w:rsidP="001015E3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364A89">
        <w:rPr>
          <w:rFonts w:ascii="Arial" w:hAnsi="Arial" w:cs="Arial"/>
          <w:sz w:val="20"/>
          <w:szCs w:val="20"/>
          <w:lang w:val="sr-Cyrl-RS"/>
        </w:rPr>
        <w:t>Z</w:t>
      </w:r>
      <w:r w:rsidRPr="00364A89">
        <w:rPr>
          <w:rFonts w:ascii="Arial" w:hAnsi="Arial" w:cs="Arial"/>
          <w:sz w:val="20"/>
          <w:szCs w:val="20"/>
        </w:rPr>
        <w:t>a</w:t>
      </w:r>
      <w:r w:rsidRPr="00364A89">
        <w:rPr>
          <w:rFonts w:ascii="Arial" w:hAnsi="Arial" w:cs="Arial"/>
          <w:sz w:val="20"/>
          <w:szCs w:val="20"/>
          <w:lang w:val="sr-Cyrl-RS"/>
        </w:rPr>
        <w:t xml:space="preserve">kon o oružju RCG ( Službeni list Republike Crne Gore, br. 49/2004). </w:t>
      </w:r>
      <w:bookmarkStart w:id="10" w:name="_GoBack"/>
      <w:bookmarkEnd w:id="10"/>
      <w:r w:rsidRPr="00364A89">
        <w:rPr>
          <w:rFonts w:ascii="Arial" w:hAnsi="Arial" w:cs="Arial"/>
          <w:sz w:val="20"/>
          <w:szCs w:val="20"/>
          <w:lang w:val="sr-Cyrl-RS"/>
        </w:rPr>
        <w:t>http://www.sluzbenilist.me/PravniAktDetalji.aspx?tag={E57B9DF6-EDDC-4813-938F-D993C8719890}</w:t>
      </w:r>
    </w:p>
    <w:p w:rsidR="001015E3" w:rsidRPr="00364A8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64A89">
        <w:rPr>
          <w:rFonts w:ascii="Arial" w:hAnsi="Arial" w:cs="Arial"/>
          <w:sz w:val="20"/>
          <w:szCs w:val="20"/>
          <w:lang w:val="sr-Cyrl-RS"/>
        </w:rPr>
        <w:t>Zakon o oružju Republike Hrvatske (</w:t>
      </w:r>
      <w:r w:rsidRPr="00364A89">
        <w:rPr>
          <w:rFonts w:ascii="Arial" w:hAnsi="Arial" w:cs="Arial"/>
          <w:sz w:val="20"/>
          <w:szCs w:val="20"/>
        </w:rPr>
        <w:t>NN </w:t>
      </w:r>
      <w:r w:rsidRPr="00364A89">
        <w:rPr>
          <w:rFonts w:ascii="Arial" w:hAnsi="Arial" w:cs="Arial"/>
          <w:sz w:val="20"/>
          <w:szCs w:val="20"/>
          <w:lang w:val="sr-Cyrl-RS"/>
        </w:rPr>
        <w:t xml:space="preserve"> </w:t>
      </w:r>
      <w:hyperlink r:id="rId9" w:history="1">
        <w:r w:rsidRPr="00364A89">
          <w:rPr>
            <w:rFonts w:ascii="Arial" w:hAnsi="Arial" w:cs="Arial"/>
            <w:sz w:val="20"/>
            <w:szCs w:val="20"/>
            <w:lang w:val="sr-Cyrl-RS"/>
          </w:rPr>
          <w:t>63/07</w:t>
        </w:r>
      </w:hyperlink>
      <w:r w:rsidRPr="00364A89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10" w:history="1">
        <w:r w:rsidRPr="00364A89">
          <w:rPr>
            <w:rFonts w:ascii="Arial" w:hAnsi="Arial" w:cs="Arial"/>
            <w:sz w:val="20"/>
            <w:szCs w:val="20"/>
            <w:lang w:val="sr-Cyrl-RS"/>
          </w:rPr>
          <w:t>146/08</w:t>
        </w:r>
      </w:hyperlink>
      <w:r w:rsidRPr="00364A89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11" w:history="1">
        <w:r w:rsidRPr="00364A89">
          <w:rPr>
            <w:rFonts w:ascii="Arial" w:hAnsi="Arial" w:cs="Arial"/>
            <w:sz w:val="20"/>
            <w:szCs w:val="20"/>
            <w:lang w:val="sr-Cyrl-RS"/>
          </w:rPr>
          <w:t>59/12</w:t>
        </w:r>
      </w:hyperlink>
      <w:r w:rsidRPr="00364A89">
        <w:rPr>
          <w:rFonts w:ascii="Arial" w:hAnsi="Arial" w:cs="Arial"/>
          <w:sz w:val="20"/>
          <w:szCs w:val="20"/>
          <w:lang w:val="sr-Cyrl-RS"/>
        </w:rPr>
        <w:t>). http://www.mup.hr/178396.aspx</w:t>
      </w:r>
    </w:p>
    <w:p w:rsidR="001015E3" w:rsidRPr="00364A89" w:rsidRDefault="001015E3" w:rsidP="001015E3">
      <w:pPr>
        <w:spacing w:line="360" w:lineRule="auto"/>
        <w:rPr>
          <w:rFonts w:ascii="Arial" w:hAnsi="Arial" w:cs="Arial"/>
          <w:sz w:val="20"/>
          <w:szCs w:val="20"/>
          <w:lang w:val="sr-Cyrl-RS"/>
        </w:rPr>
      </w:pPr>
      <w:r w:rsidRPr="00364A89">
        <w:rPr>
          <w:rFonts w:ascii="Arial" w:hAnsi="Arial" w:cs="Arial"/>
          <w:sz w:val="20"/>
          <w:szCs w:val="20"/>
          <w:lang w:val="sr-Cyrl-RS"/>
        </w:rPr>
        <w:t>Zakon o carinskoj politici BiH (''Službeni glasnik BiH'', br. 57/04). http://www.komorars.ba/pkrs/upload/docs/page/94/1.%20Zakon%20o%20carinskoj%20politici%20BiH%20%28Sl.gl.%20BiH,%20br.%2057-04%29.pdf</w:t>
      </w:r>
    </w:p>
    <w:p w:rsidR="001015E3" w:rsidRPr="00364A89" w:rsidRDefault="001015E3" w:rsidP="001015E3">
      <w:pPr>
        <w:spacing w:line="360" w:lineRule="auto"/>
        <w:rPr>
          <w:rFonts w:ascii="Arial" w:hAnsi="Arial" w:cs="Arial"/>
          <w:b/>
          <w:bCs/>
          <w:sz w:val="20"/>
          <w:szCs w:val="20"/>
          <w:lang w:val="sr-Cyrl-RS"/>
        </w:rPr>
      </w:pPr>
      <w:r w:rsidRPr="00364A89">
        <w:rPr>
          <w:rStyle w:val="Strong"/>
          <w:rFonts w:ascii="Arial" w:hAnsi="Arial" w:cs="Arial"/>
          <w:b w:val="0"/>
          <w:bCs w:val="0"/>
          <w:sz w:val="20"/>
          <w:szCs w:val="20"/>
          <w:lang w:val="bs-Cyrl-BA"/>
        </w:rPr>
        <w:t>Council Directive 91/477/EEC of 18 June 1991 on control of the acquisition and possession of weapons.</w:t>
      </w:r>
      <w:r w:rsidRPr="00364A89">
        <w:rPr>
          <w:rStyle w:val="Strong"/>
          <w:rFonts w:ascii="Arial" w:hAnsi="Arial" w:cs="Arial"/>
          <w:b w:val="0"/>
          <w:bCs w:val="0"/>
          <w:sz w:val="20"/>
          <w:szCs w:val="20"/>
          <w:lang w:val="sr-Cyrl-RS"/>
        </w:rPr>
        <w:t xml:space="preserve"> http://eurlex.europa.eu/legalcontent/en/ALL/;ELX_SESSIONID=J6TjJLcQJ26y2PR0lfhtspf5wCfQDJp3ylvL2q1lW1QMQXmZGyT6!-1003375468?uri=CELEX:31991L0477</w:t>
      </w:r>
    </w:p>
    <w:p w:rsidR="001015E3" w:rsidRPr="00364A8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64A89">
        <w:rPr>
          <w:rFonts w:ascii="Arial" w:hAnsi="Arial" w:cs="Arial"/>
          <w:sz w:val="20"/>
          <w:szCs w:val="20"/>
          <w:lang w:val="sr-Cyrl-RS"/>
        </w:rPr>
        <w:t>The Global Reported Arms Trade. http://www.un-register.org/HeavyWeapons/Index.aspx</w:t>
      </w:r>
    </w:p>
    <w:p w:rsidR="001015E3" w:rsidRPr="00364A8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64A89">
        <w:rPr>
          <w:rFonts w:ascii="Arial" w:eastAsia="Times New Roman" w:hAnsi="Arial" w:cs="Arial"/>
          <w:kern w:val="36"/>
          <w:sz w:val="20"/>
          <w:szCs w:val="20"/>
          <w:lang w:val="bs-Cyrl-BA" w:bidi="gu-IN"/>
        </w:rPr>
        <w:t xml:space="preserve">UK Government. </w:t>
      </w:r>
      <w:hyperlink r:id="rId12" w:history="1">
        <w:r w:rsidRPr="00364A89">
          <w:rPr>
            <w:rFonts w:ascii="Arial" w:hAnsi="Arial" w:cs="Arial"/>
            <w:sz w:val="20"/>
            <w:szCs w:val="20"/>
            <w:lang w:val="bs-Cyrl-BA"/>
          </w:rPr>
          <w:t>Department for Business, Innovation &amp; Skills</w:t>
        </w:r>
      </w:hyperlink>
      <w:r w:rsidRPr="00364A89">
        <w:rPr>
          <w:rFonts w:ascii="Arial" w:hAnsi="Arial" w:cs="Arial"/>
          <w:sz w:val="20"/>
          <w:szCs w:val="20"/>
        </w:rPr>
        <w:t xml:space="preserve">. Guidance </w:t>
      </w:r>
      <w:r w:rsidRPr="00364A89">
        <w:rPr>
          <w:rFonts w:ascii="Arial" w:eastAsia="Times New Roman" w:hAnsi="Arial" w:cs="Arial"/>
          <w:kern w:val="36"/>
          <w:sz w:val="20"/>
          <w:szCs w:val="20"/>
          <w:lang w:bidi="gu-IN"/>
        </w:rPr>
        <w:t>Firearms and export control forms.</w:t>
      </w:r>
      <w:r w:rsidRPr="00364A89">
        <w:rPr>
          <w:rFonts w:ascii="Arial" w:hAnsi="Arial" w:cs="Arial"/>
          <w:sz w:val="20"/>
          <w:szCs w:val="20"/>
        </w:rPr>
        <w:t xml:space="preserve"> </w:t>
      </w:r>
      <w:hyperlink r:id="rId13" w:history="1">
        <w:r w:rsidRPr="00364A89">
          <w:rPr>
            <w:rStyle w:val="Hyperlink"/>
            <w:rFonts w:ascii="Arial" w:hAnsi="Arial" w:cs="Arial"/>
            <w:sz w:val="20"/>
            <w:szCs w:val="20"/>
            <w:lang w:val="sr-Cyrl-RS"/>
          </w:rPr>
          <w:t>https://www.gov.uk/firearms-and-export-control-forms</w:t>
        </w:r>
      </w:hyperlink>
    </w:p>
    <w:p w:rsidR="001015E3" w:rsidRPr="00364A89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364A89">
        <w:rPr>
          <w:rFonts w:ascii="Arial" w:hAnsi="Arial" w:cs="Arial"/>
          <w:sz w:val="20"/>
          <w:szCs w:val="20"/>
        </w:rPr>
        <w:t xml:space="preserve">GunPolicy.org: Web source for published evidence on armed violence, firearm law and gun control. </w:t>
      </w:r>
      <w:hyperlink r:id="rId14" w:history="1">
        <w:r w:rsidRPr="00364A89">
          <w:rPr>
            <w:rStyle w:val="Hyperlink"/>
            <w:rFonts w:ascii="Arial" w:hAnsi="Arial" w:cs="Arial"/>
            <w:sz w:val="20"/>
            <w:szCs w:val="20"/>
            <w:lang w:val="sr-Cyrl-RS"/>
          </w:rPr>
          <w:t>www.gunpolicy.org/firearms/region/italy</w:t>
        </w:r>
      </w:hyperlink>
      <w:r w:rsidRPr="00364A89">
        <w:rPr>
          <w:rFonts w:ascii="Arial" w:hAnsi="Arial" w:cs="Arial"/>
          <w:sz w:val="20"/>
          <w:szCs w:val="20"/>
          <w:lang w:val="sr-Cyrl-RS"/>
        </w:rPr>
        <w:t xml:space="preserve">; </w:t>
      </w:r>
      <w:hyperlink r:id="rId15" w:history="1">
        <w:r w:rsidRPr="00364A89">
          <w:rPr>
            <w:rStyle w:val="Hyperlink"/>
            <w:rFonts w:ascii="Arial" w:hAnsi="Arial" w:cs="Arial"/>
            <w:sz w:val="20"/>
            <w:szCs w:val="20"/>
            <w:lang w:val="sr-Cyrl-RS"/>
          </w:rPr>
          <w:t>www.gunpolicy.org/en/firearms/region/finland</w:t>
        </w:r>
      </w:hyperlink>
    </w:p>
    <w:p w:rsidR="001015E3" w:rsidRPr="00D4640F" w:rsidRDefault="001015E3" w:rsidP="001015E3">
      <w:pPr>
        <w:spacing w:line="360" w:lineRule="auto"/>
        <w:jc w:val="both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</w:p>
    <w:p w:rsidR="001015E3" w:rsidRPr="008D4F55" w:rsidRDefault="001015E3" w:rsidP="001015E3">
      <w:pPr>
        <w:spacing w:line="360" w:lineRule="auto"/>
        <w:ind w:left="4320" w:firstLine="720"/>
        <w:jc w:val="both"/>
        <w:rPr>
          <w:rFonts w:ascii="Arial" w:hAnsi="Arial" w:cs="Arial"/>
          <w:sz w:val="20"/>
          <w:szCs w:val="20"/>
          <w:lang w:val="sr-Cyrl-RS"/>
        </w:rPr>
      </w:pPr>
      <w:r>
        <w:rPr>
          <w:rFonts w:ascii="Arial" w:hAnsi="Arial" w:cs="Arial"/>
          <w:sz w:val="20"/>
          <w:szCs w:val="20"/>
          <w:lang w:val="sr-Cyrl-RS"/>
        </w:rPr>
        <w:t>Istraživanje</w:t>
      </w:r>
      <w:r w:rsidRPr="008D4F5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uradio</w:t>
      </w:r>
      <w:r w:rsidRPr="008D4F55">
        <w:rPr>
          <w:rFonts w:ascii="Arial" w:hAnsi="Arial" w:cs="Arial"/>
          <w:sz w:val="20"/>
          <w:szCs w:val="20"/>
          <w:lang w:val="sr-Cyrl-RS"/>
        </w:rPr>
        <w:t>:</w:t>
      </w:r>
    </w:p>
    <w:p w:rsidR="001015E3" w:rsidRPr="008D4F55" w:rsidRDefault="001015E3" w:rsidP="001015E3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Zoran</w:t>
      </w:r>
      <w:r w:rsidRPr="008D4F5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Manojlović</w:t>
      </w:r>
    </w:p>
    <w:p w:rsidR="001015E3" w:rsidRPr="00794213" w:rsidRDefault="001015E3" w:rsidP="001015E3">
      <w:pPr>
        <w:pStyle w:val="NoSpacing"/>
        <w:rPr>
          <w:rFonts w:ascii="Arial" w:hAnsi="Arial" w:cs="Arial"/>
          <w:sz w:val="20"/>
          <w:szCs w:val="20"/>
          <w:lang w:val="sr-Cyrl-RS"/>
        </w:rPr>
      </w:pP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 w:rsidRPr="008D4F55">
        <w:rPr>
          <w:rFonts w:ascii="Arial" w:hAnsi="Arial" w:cs="Arial"/>
          <w:sz w:val="20"/>
          <w:szCs w:val="20"/>
          <w:lang w:val="sr-Cyrl-RS"/>
        </w:rPr>
        <w:tab/>
      </w:r>
      <w:r>
        <w:rPr>
          <w:rFonts w:ascii="Arial" w:hAnsi="Arial" w:cs="Arial"/>
          <w:sz w:val="20"/>
          <w:szCs w:val="20"/>
          <w:lang w:val="sr-Cyrl-RS"/>
        </w:rPr>
        <w:t>mlađi</w:t>
      </w:r>
      <w:r w:rsidRPr="008D4F55">
        <w:rPr>
          <w:rFonts w:ascii="Arial" w:hAnsi="Arial" w:cs="Arial"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sz w:val="20"/>
          <w:szCs w:val="20"/>
          <w:lang w:val="sr-Cyrl-RS"/>
        </w:rPr>
        <w:t>savetnik</w:t>
      </w:r>
      <w:r w:rsidRPr="008D4F55">
        <w:rPr>
          <w:rFonts w:ascii="Arial" w:hAnsi="Arial" w:cs="Arial"/>
          <w:sz w:val="20"/>
          <w:szCs w:val="20"/>
          <w:lang w:val="sr-Cyrl-RS"/>
        </w:rPr>
        <w:t>-</w:t>
      </w:r>
      <w:r>
        <w:rPr>
          <w:rFonts w:ascii="Arial" w:hAnsi="Arial" w:cs="Arial"/>
          <w:sz w:val="20"/>
          <w:szCs w:val="20"/>
          <w:lang w:val="sr-Cyrl-RS"/>
        </w:rPr>
        <w:t>istraživač</w:t>
      </w:r>
    </w:p>
    <w:p w:rsidR="00E81B59" w:rsidRPr="001015E3" w:rsidRDefault="00E81B59">
      <w:pPr>
        <w:rPr>
          <w:lang w:val="sr-Cyrl-RS"/>
        </w:rPr>
      </w:pPr>
    </w:p>
    <w:sectPr w:rsidR="00E81B59" w:rsidRPr="001015E3" w:rsidSect="00794213">
      <w:footerReference w:type="default" r:id="rId16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364A89">
      <w:pPr>
        <w:spacing w:after="0" w:line="240" w:lineRule="auto"/>
      </w:pPr>
      <w:r>
        <w:separator/>
      </w:r>
    </w:p>
  </w:endnote>
  <w:endnote w:type="continuationSeparator" w:id="0">
    <w:p w:rsidR="00000000" w:rsidRDefault="00364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823299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94213" w:rsidRDefault="00F047D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64A89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794213" w:rsidRDefault="00364A8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364A89">
      <w:pPr>
        <w:spacing w:after="0" w:line="240" w:lineRule="auto"/>
      </w:pPr>
      <w:r>
        <w:separator/>
      </w:r>
    </w:p>
  </w:footnote>
  <w:footnote w:type="continuationSeparator" w:id="0">
    <w:p w:rsidR="00000000" w:rsidRDefault="00364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5E3"/>
    <w:rsid w:val="001015E3"/>
    <w:rsid w:val="00364A89"/>
    <w:rsid w:val="00E81B59"/>
    <w:rsid w:val="00F0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E3"/>
  </w:style>
  <w:style w:type="paragraph" w:styleId="Heading1">
    <w:name w:val="heading 1"/>
    <w:basedOn w:val="Normal"/>
    <w:next w:val="Normal"/>
    <w:link w:val="Heading1Char"/>
    <w:uiPriority w:val="9"/>
    <w:qFormat/>
    <w:rsid w:val="001015E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5E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5E3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15E3"/>
    <w:rPr>
      <w:rFonts w:ascii="Arial" w:eastAsiaTheme="majorEastAsia" w:hAnsi="Arial" w:cstheme="majorBidi"/>
      <w:b/>
      <w:bCs/>
      <w:i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1015E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015E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015E3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0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E3"/>
  </w:style>
  <w:style w:type="paragraph" w:styleId="TOC1">
    <w:name w:val="toc 1"/>
    <w:basedOn w:val="Normal"/>
    <w:next w:val="Normal"/>
    <w:autoRedefine/>
    <w:uiPriority w:val="39"/>
    <w:unhideWhenUsed/>
    <w:rsid w:val="001015E3"/>
    <w:pPr>
      <w:spacing w:after="10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1015E3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015E3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15E3"/>
  </w:style>
  <w:style w:type="paragraph" w:styleId="Heading1">
    <w:name w:val="heading 1"/>
    <w:basedOn w:val="Normal"/>
    <w:next w:val="Normal"/>
    <w:link w:val="Heading1Char"/>
    <w:uiPriority w:val="9"/>
    <w:qFormat/>
    <w:rsid w:val="001015E3"/>
    <w:pPr>
      <w:keepNext/>
      <w:keepLines/>
      <w:spacing w:before="480" w:after="0"/>
      <w:outlineLvl w:val="0"/>
    </w:pPr>
    <w:rPr>
      <w:rFonts w:ascii="Arial" w:eastAsiaTheme="majorEastAsia" w:hAnsi="Arial" w:cstheme="majorBidi"/>
      <w:b/>
      <w:bCs/>
      <w:sz w:val="2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15E3"/>
    <w:pPr>
      <w:keepNext/>
      <w:keepLines/>
      <w:spacing w:before="200" w:after="0"/>
      <w:outlineLvl w:val="1"/>
    </w:pPr>
    <w:rPr>
      <w:rFonts w:ascii="Arial" w:eastAsiaTheme="majorEastAsia" w:hAnsi="Arial" w:cstheme="majorBidi"/>
      <w:b/>
      <w:bCs/>
      <w:i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15E3"/>
    <w:rPr>
      <w:rFonts w:ascii="Arial" w:eastAsiaTheme="majorEastAsia" w:hAnsi="Arial" w:cstheme="majorBidi"/>
      <w:b/>
      <w:bCs/>
      <w:sz w:val="2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015E3"/>
    <w:rPr>
      <w:rFonts w:ascii="Arial" w:eastAsiaTheme="majorEastAsia" w:hAnsi="Arial" w:cstheme="majorBidi"/>
      <w:b/>
      <w:bCs/>
      <w:i/>
      <w:sz w:val="20"/>
      <w:szCs w:val="26"/>
    </w:rPr>
  </w:style>
  <w:style w:type="character" w:styleId="Hyperlink">
    <w:name w:val="Hyperlink"/>
    <w:basedOn w:val="DefaultParagraphFont"/>
    <w:uiPriority w:val="99"/>
    <w:unhideWhenUsed/>
    <w:rsid w:val="001015E3"/>
    <w:rPr>
      <w:color w:val="0000FF" w:themeColor="hyperlink"/>
      <w:u w:val="single"/>
    </w:rPr>
  </w:style>
  <w:style w:type="paragraph" w:styleId="NoSpacing">
    <w:name w:val="No Spacing"/>
    <w:link w:val="NoSpacingChar"/>
    <w:uiPriority w:val="1"/>
    <w:qFormat/>
    <w:rsid w:val="001015E3"/>
    <w:pPr>
      <w:spacing w:after="0" w:line="240" w:lineRule="auto"/>
    </w:pPr>
    <w:rPr>
      <w:rFonts w:eastAsiaTheme="minorEastAsia"/>
      <w:lang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1015E3"/>
    <w:rPr>
      <w:rFonts w:eastAsiaTheme="minorEastAsia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1015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15E3"/>
  </w:style>
  <w:style w:type="paragraph" w:styleId="TOC1">
    <w:name w:val="toc 1"/>
    <w:basedOn w:val="Normal"/>
    <w:next w:val="Normal"/>
    <w:autoRedefine/>
    <w:uiPriority w:val="39"/>
    <w:unhideWhenUsed/>
    <w:rsid w:val="001015E3"/>
    <w:pPr>
      <w:spacing w:after="100"/>
    </w:pPr>
    <w:rPr>
      <w:rFonts w:ascii="Arial" w:hAnsi="Arial"/>
    </w:rPr>
  </w:style>
  <w:style w:type="character" w:styleId="Strong">
    <w:name w:val="Strong"/>
    <w:basedOn w:val="DefaultParagraphFont"/>
    <w:uiPriority w:val="22"/>
    <w:qFormat/>
    <w:rsid w:val="001015E3"/>
    <w:rPr>
      <w:b/>
      <w:bCs/>
    </w:rPr>
  </w:style>
  <w:style w:type="paragraph" w:styleId="TOC2">
    <w:name w:val="toc 2"/>
    <w:basedOn w:val="Normal"/>
    <w:next w:val="Normal"/>
    <w:autoRedefine/>
    <w:uiPriority w:val="39"/>
    <w:unhideWhenUsed/>
    <w:rsid w:val="001015E3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razivanja@parlament.rs" TargetMode="External"/><Relationship Id="rId13" Type="http://schemas.openxmlformats.org/officeDocument/2006/relationships/hyperlink" Target="https://www.gov.uk/firearms-and-export-control-form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www.gov.uk/government/organisations/department-for-business-innovation-skills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narodne-novine.nn.hr/clanci/sluzbeni/2012_05_59_1459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gunpolicy.org/en/firearms/region/finland" TargetMode="External"/><Relationship Id="rId10" Type="http://schemas.openxmlformats.org/officeDocument/2006/relationships/hyperlink" Target="http://narodne-novine.nn.hr/clanci/sluzbeni/2008_12_146_4041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arodne-novine.nn.hr/clanci/sluzbeni/2007_06_63_1959.html" TargetMode="External"/><Relationship Id="rId14" Type="http://schemas.openxmlformats.org/officeDocument/2006/relationships/hyperlink" Target="http://www.gunpolicy.org/firearms/region/ital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4BCB2-9D82-454C-81BB-09CF6CC427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12</Pages>
  <Words>4440</Words>
  <Characters>25310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3</cp:revision>
  <dcterms:created xsi:type="dcterms:W3CDTF">2014-10-08T12:57:00Z</dcterms:created>
  <dcterms:modified xsi:type="dcterms:W3CDTF">2014-10-09T10:56:00Z</dcterms:modified>
</cp:coreProperties>
</file>